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178" w:rsidRPr="00F3588F" w:rsidRDefault="00F11178" w:rsidP="00F11178">
      <w:pPr>
        <w:shd w:val="clear" w:color="auto" w:fill="92D050"/>
        <w:spacing w:after="0" w:line="240" w:lineRule="auto"/>
        <w:jc w:val="both"/>
        <w:outlineLvl w:val="0"/>
        <w:rPr>
          <w:rFonts w:eastAsia="Times New Roman" w:cs="Tahoma"/>
          <w:color w:val="000000"/>
          <w:kern w:val="36"/>
          <w:sz w:val="20"/>
          <w:szCs w:val="20"/>
          <w:u w:val="single"/>
          <w:lang w:eastAsia="ru-RU"/>
        </w:rPr>
      </w:pPr>
      <w:r w:rsidRPr="00F3588F">
        <w:rPr>
          <w:rFonts w:eastAsia="Times New Roman" w:cs="Tahoma"/>
          <w:color w:val="000000"/>
          <w:kern w:val="36"/>
          <w:sz w:val="20"/>
          <w:szCs w:val="20"/>
          <w:u w:val="single"/>
          <w:lang w:eastAsia="ru-RU"/>
        </w:rPr>
        <w:t>Ссылка для цитирования:</w:t>
      </w:r>
    </w:p>
    <w:p w:rsidR="00F11178" w:rsidRPr="00F3588F" w:rsidRDefault="00F11178" w:rsidP="00F11178">
      <w:pPr>
        <w:shd w:val="clear" w:color="auto" w:fill="92D050"/>
        <w:spacing w:after="0" w:line="240" w:lineRule="auto"/>
        <w:jc w:val="both"/>
        <w:outlineLvl w:val="0"/>
        <w:rPr>
          <w:sz w:val="20"/>
          <w:szCs w:val="20"/>
        </w:rPr>
      </w:pPr>
      <w:r w:rsidRPr="00F3588F">
        <w:rPr>
          <w:rFonts w:eastAsia="Times New Roman" w:cs="Tahoma"/>
          <w:b/>
          <w:color w:val="000000"/>
          <w:kern w:val="36"/>
          <w:sz w:val="20"/>
          <w:szCs w:val="20"/>
          <w:lang w:eastAsia="ru-RU"/>
        </w:rPr>
        <w:t>Руднев В. П. Полифонический характер (в культуре XX в.)</w:t>
      </w:r>
      <w:r w:rsidRPr="00F3588F">
        <w:rPr>
          <w:b/>
          <w:sz w:val="20"/>
          <w:szCs w:val="20"/>
        </w:rPr>
        <w:t xml:space="preserve"> </w:t>
      </w:r>
      <w:r w:rsidRPr="00F3588F">
        <w:rPr>
          <w:sz w:val="20"/>
          <w:szCs w:val="20"/>
        </w:rPr>
        <w:t>[Электронный ресурс] // Научно-информационный портал «</w:t>
      </w:r>
      <w:proofErr w:type="gramStart"/>
      <w:r w:rsidRPr="00F3588F">
        <w:rPr>
          <w:sz w:val="20"/>
          <w:szCs w:val="20"/>
        </w:rPr>
        <w:t>Естественно-научные</w:t>
      </w:r>
      <w:proofErr w:type="gramEnd"/>
      <w:r w:rsidRPr="00F3588F">
        <w:rPr>
          <w:sz w:val="20"/>
          <w:szCs w:val="20"/>
        </w:rPr>
        <w:t xml:space="preserve"> исследования творческого процесса» под редакцией Г. Ю. </w:t>
      </w:r>
      <w:proofErr w:type="spellStart"/>
      <w:r w:rsidRPr="00F3588F">
        <w:rPr>
          <w:sz w:val="20"/>
          <w:szCs w:val="20"/>
        </w:rPr>
        <w:t>Канарша</w:t>
      </w:r>
      <w:proofErr w:type="spellEnd"/>
      <w:r w:rsidRPr="00F3588F">
        <w:rPr>
          <w:sz w:val="20"/>
          <w:szCs w:val="20"/>
        </w:rPr>
        <w:t xml:space="preserve">. – </w:t>
      </w:r>
      <w:r w:rsidRPr="00F3588F">
        <w:rPr>
          <w:sz w:val="20"/>
          <w:szCs w:val="20"/>
          <w:lang w:val="en-US"/>
        </w:rPr>
        <w:t>URL</w:t>
      </w:r>
      <w:bookmarkStart w:id="0" w:name="_GoBack"/>
      <w:r w:rsidRPr="00F3588F">
        <w:rPr>
          <w:sz w:val="20"/>
          <w:szCs w:val="20"/>
        </w:rPr>
        <w:t xml:space="preserve">: </w:t>
      </w:r>
      <w:r w:rsidRPr="00F3588F">
        <w:rPr>
          <w:rFonts w:eastAsia="Times New Roman" w:cs="Tahoma"/>
          <w:color w:val="000000"/>
          <w:kern w:val="36"/>
          <w:sz w:val="20"/>
          <w:szCs w:val="20"/>
          <w:lang w:eastAsia="ru-RU"/>
        </w:rPr>
        <w:t>http://characterology.ru/characterology/characters/Rudnev_poliphonia/</w:t>
      </w:r>
      <w:r w:rsidRPr="00F3588F">
        <w:rPr>
          <w:sz w:val="20"/>
          <w:szCs w:val="20"/>
        </w:rPr>
        <w:t xml:space="preserve"> </w:t>
      </w:r>
      <w:bookmarkEnd w:id="0"/>
      <w:r w:rsidRPr="00F3588F">
        <w:rPr>
          <w:sz w:val="20"/>
          <w:szCs w:val="20"/>
        </w:rPr>
        <w:t>(дата обращения</w:t>
      </w:r>
      <w:r w:rsidR="00856F9C" w:rsidRPr="00F3588F">
        <w:rPr>
          <w:sz w:val="20"/>
          <w:szCs w:val="20"/>
        </w:rPr>
        <w:t>:</w:t>
      </w:r>
      <w:r w:rsidRPr="00F3588F">
        <w:rPr>
          <w:sz w:val="20"/>
          <w:szCs w:val="20"/>
        </w:rPr>
        <w:t xml:space="preserve"> </w:t>
      </w:r>
      <w:r w:rsidR="00D84B70" w:rsidRPr="00F3588F">
        <w:rPr>
          <w:sz w:val="20"/>
          <w:szCs w:val="20"/>
        </w:rPr>
        <w:t>12</w:t>
      </w:r>
      <w:r w:rsidRPr="00F3588F">
        <w:rPr>
          <w:sz w:val="20"/>
          <w:szCs w:val="20"/>
        </w:rPr>
        <w:t>.</w:t>
      </w:r>
      <w:r w:rsidR="00D84B70" w:rsidRPr="00F3588F">
        <w:rPr>
          <w:sz w:val="20"/>
          <w:szCs w:val="20"/>
        </w:rPr>
        <w:t>04</w:t>
      </w:r>
      <w:r w:rsidRPr="00F3588F">
        <w:rPr>
          <w:sz w:val="20"/>
          <w:szCs w:val="20"/>
        </w:rPr>
        <w:t>.</w:t>
      </w:r>
      <w:r w:rsidR="00D84B70" w:rsidRPr="00F3588F">
        <w:rPr>
          <w:sz w:val="20"/>
          <w:szCs w:val="20"/>
        </w:rPr>
        <w:t>2023</w:t>
      </w:r>
      <w:r w:rsidRPr="00F3588F">
        <w:rPr>
          <w:sz w:val="20"/>
          <w:szCs w:val="20"/>
        </w:rPr>
        <w:t>)</w:t>
      </w:r>
    </w:p>
    <w:p w:rsidR="00F11178" w:rsidRPr="00F11178" w:rsidRDefault="00F11178" w:rsidP="00F11178">
      <w:pPr>
        <w:shd w:val="clear" w:color="auto" w:fill="FFFFFF" w:themeFill="background1"/>
        <w:spacing w:after="0" w:line="240" w:lineRule="auto"/>
        <w:jc w:val="both"/>
        <w:outlineLvl w:val="0"/>
        <w:rPr>
          <w:rFonts w:eastAsia="Times New Roman" w:cs="Tahoma"/>
          <w:b/>
          <w:color w:val="000000"/>
          <w:kern w:val="36"/>
          <w:sz w:val="24"/>
          <w:szCs w:val="24"/>
          <w:lang w:eastAsia="ru-RU"/>
        </w:rPr>
      </w:pPr>
    </w:p>
    <w:p w:rsidR="00F11178" w:rsidRDefault="00F11178" w:rsidP="009D1C96">
      <w:pPr>
        <w:spacing w:after="336" w:line="240" w:lineRule="atLeast"/>
        <w:ind w:firstLine="709"/>
        <w:jc w:val="both"/>
        <w:outlineLvl w:val="0"/>
        <w:rPr>
          <w:rFonts w:eastAsia="Times New Roman" w:cs="Tahoma"/>
          <w:b/>
          <w:color w:val="000000"/>
          <w:kern w:val="36"/>
          <w:sz w:val="40"/>
          <w:szCs w:val="40"/>
          <w:lang w:eastAsia="ru-RU"/>
        </w:rPr>
      </w:pPr>
    </w:p>
    <w:p w:rsidR="009D1C96" w:rsidRPr="00F3588F" w:rsidRDefault="009D1C96" w:rsidP="009D1C96">
      <w:pPr>
        <w:spacing w:after="336" w:line="240" w:lineRule="atLeast"/>
        <w:ind w:firstLine="709"/>
        <w:jc w:val="both"/>
        <w:outlineLvl w:val="0"/>
        <w:rPr>
          <w:rFonts w:eastAsia="Times New Roman" w:cs="Tahoma"/>
          <w:b/>
          <w:color w:val="000000"/>
          <w:kern w:val="36"/>
          <w:sz w:val="44"/>
          <w:szCs w:val="44"/>
          <w:lang w:eastAsia="ru-RU"/>
        </w:rPr>
      </w:pPr>
      <w:r w:rsidRPr="00F3588F">
        <w:rPr>
          <w:rFonts w:eastAsia="Times New Roman" w:cs="Tahoma"/>
          <w:b/>
          <w:color w:val="000000"/>
          <w:kern w:val="36"/>
          <w:sz w:val="44"/>
          <w:szCs w:val="44"/>
          <w:lang w:eastAsia="ru-RU"/>
        </w:rPr>
        <w:t>Полифонический характер (в культуре XX в.)</w:t>
      </w:r>
    </w:p>
    <w:p w:rsidR="009D1C96" w:rsidRPr="009D1C96" w:rsidRDefault="009D1C96" w:rsidP="009D1C96">
      <w:pPr>
        <w:spacing w:after="336" w:line="240" w:lineRule="atLeast"/>
        <w:ind w:firstLine="709"/>
        <w:jc w:val="both"/>
        <w:outlineLvl w:val="0"/>
        <w:rPr>
          <w:rFonts w:eastAsia="Times New Roman" w:cs="Tahoma"/>
          <w:b/>
          <w:color w:val="000000"/>
          <w:kern w:val="36"/>
          <w:sz w:val="40"/>
          <w:szCs w:val="40"/>
          <w:lang w:eastAsia="ru-RU"/>
        </w:rPr>
      </w:pPr>
      <w:r w:rsidRPr="009D1C96">
        <w:rPr>
          <w:rFonts w:eastAsia="Times New Roman" w:cs="Tahoma"/>
          <w:b/>
          <w:color w:val="000000"/>
          <w:kern w:val="36"/>
          <w:sz w:val="40"/>
          <w:szCs w:val="40"/>
          <w:lang w:eastAsia="ru-RU"/>
        </w:rPr>
        <w:t>Руднев В. П.</w:t>
      </w:r>
    </w:p>
    <w:p w:rsidR="009D1C96" w:rsidRPr="009D1C96" w:rsidRDefault="009D1C96" w:rsidP="009D1C96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ПОЛИФОНИЧЕСКИЙ ХАРАКТЕР (см. также </w:t>
      </w:r>
      <w:hyperlink r:id="rId7" w:history="1">
        <w:r w:rsidRPr="009D1C96">
          <w:rPr>
            <w:rFonts w:eastAsia="Times New Roman" w:cs="Times New Roman"/>
            <w:color w:val="B62D2D"/>
            <w:sz w:val="28"/>
            <w:szCs w:val="28"/>
            <w:u w:val="single"/>
            <w:lang w:eastAsia="ru-RU"/>
          </w:rPr>
          <w:t>характерология</w:t>
        </w:r>
      </w:hyperlink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— одна из разновидностей характерологической мозаики, то есть сочетания в одной личности нескольких равноправных, но обычно не сочетаемых характерологических радикалов, свойственная людям, страдающим малопрогредиентной, то есть вялотекущей, 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неврозоподобной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шизофренией (см.) с отсутствием дефекта и слабо выраженным схизисом. Вот что пишет о </w:t>
      </w:r>
      <w:r w:rsidRPr="009D1C96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полифоническом характере </w:t>
      </w: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психотерапевт Е. А. Добролюбова, которая ввела это понятие:</w:t>
      </w:r>
    </w:p>
    <w:p w:rsidR="009D1C96" w:rsidRPr="009D1C96" w:rsidRDefault="009D1C96" w:rsidP="009D1C96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"Полифоническая мозаика это одновременное сосуществование в человеке богатой чувственности (чувственного склада=радикала) и высокой 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аналитичности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(аналитического склада=радикала), Художника и Ученого. Шизофреническая картина есть образ=понятие, она близка к эмблеме, как бы принадлежит не только к искусству, но и к литературе: в литературе больше обобщения, больше мысли. В узком смысле полифоническая мозаика — одновременное звучание нескольких характерологических радикалов. Художественное полотно создается </w:t>
      </w:r>
      <w:proofErr w:type="gram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одно-временно</w:t>
      </w:r>
      <w:proofErr w:type="gram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, например, аутистическим, психастеническим, истерическим, 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эпитимным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радикалами (одного и того же человека). Благодаря наличию, как правило, нескольких реалистических радикалов автор выглядит в философском смысле все же материалистом, хотя и “странным”. В самом узком смысле полифоническая мозаика есть присутствие в один и тот же момент не борющихся друг с другом противоположных состояний, настроений”.</w:t>
      </w:r>
    </w:p>
    <w:p w:rsidR="009D1C96" w:rsidRPr="009D1C96" w:rsidRDefault="009D1C96" w:rsidP="009D1C96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D1C96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Полифонический характер</w:t>
      </w: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 </w:t>
      </w:r>
      <w:r w:rsidR="00F1117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весь как бы состоит из </w:t>
      </w:r>
      <w:r w:rsidRPr="009D1C96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осколков, </w:t>
      </w: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как мозаика Ломоносова, посвященная Полтавской битве: подобно сангвинику, ши</w:t>
      </w: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softHyphen/>
        <w:t xml:space="preserve">зофреник радуется жизни, подобно психастенику, переживает и рефлексирует, подобно 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эпилептоиду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, страдает вспышками яро</w:t>
      </w: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softHyphen/>
        <w:t xml:space="preserve">сти, подобно истерику, рыдает и устраивает сцены. Все это существует в 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мозаическом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lastRenderedPageBreak/>
        <w:t>характере шизофреника “то вместе, то поврозь, а то попеременно”, и все это чрезвычайно мучительно как для самого больного, так и для окружающих его близких людей.</w:t>
      </w:r>
    </w:p>
    <w:p w:rsidR="009D1C96" w:rsidRPr="009D1C96" w:rsidRDefault="009D1C96" w:rsidP="009D1C96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Но нет </w:t>
      </w:r>
      <w:proofErr w:type="gram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худа</w:t>
      </w:r>
      <w:proofErr w:type="gram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без добра. Шизофреническое, расщепленное, 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мозаическое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начало настолько органически вошло в антураж XX в., что при помощи шизофренического полифонического мышления создано огромное количество шедевров живописи, музыки, кинематографа, поэзии, философии и психологии XX в.</w:t>
      </w:r>
    </w:p>
    <w:p w:rsidR="009D1C96" w:rsidRPr="009D1C96" w:rsidRDefault="009D1C96" w:rsidP="009D1C96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Роль таких осколков в искусстве XX в, прежде </w:t>
      </w:r>
      <w:proofErr w:type="gram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всего</w:t>
      </w:r>
      <w:proofErr w:type="gram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играют цитаты. “Можно поднять игру на высшую ступень, играя с формами, из которых ушла жизнь". Это говорит черт композитору-шизофренику Адриану 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Леверкюну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, герою "Доктора 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Фаустуса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" Томаса Манна. По сути в этом высказывании вся философия ис</w:t>
      </w: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softHyphen/>
        <w:t xml:space="preserve">кусства XX </w:t>
      </w:r>
      <w:proofErr w:type="gram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. Все оно представляет собой пеструю мозаику ци</w:t>
      </w: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softHyphen/>
        <w:t>тат. Один из классических музыкальных шедевров XX в. “История солдата" Игоря Стравинского строится как коллаж цитат из церковной музыки (григорианский хорал), частушечной мело</w:t>
      </w: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softHyphen/>
        <w:t>дики, военных маршей, городского романса. Вспомним также поэму Блока "Двенадцать", где воровские куплеты перемежаются с городским романсом, пафосным одическим воспеванием красногвардейцев и маршевыми ритмами. Это тоже полифони</w:t>
      </w: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softHyphen/>
        <w:t>ческая мозаика, причем не только на уровне жанровой пестроты, но и на уровне стихотворных размеров — то четырехстопный хорей, то верлибр (см.), то ямб, то вообще неизвестно что. Все вместе это называется полиметрия, мозаика стиха. Кстати, и сам верлибр строится точно так же. Например, знаменитый вер</w:t>
      </w: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softHyphen/>
        <w:t xml:space="preserve">либр Блока “Она пришла с мороза" (его анализ см. в статье верлибр). Вот современная 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полифонически-мозаическая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поэзия на карточках Льва Рубинштейна (см. также концептуализм)</w:t>
      </w:r>
      <w:proofErr w:type="gram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где каждая строка — осколок из какого-то разговора, какой-то жизни, какого-то мира:</w:t>
      </w:r>
    </w:p>
    <w:p w:rsidR="009D1C96" w:rsidRPr="009D1C96" w:rsidRDefault="009D1C96" w:rsidP="009D1C96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Ну что я вам могу сказать?</w:t>
      </w:r>
    </w:p>
    <w:p w:rsidR="009D1C96" w:rsidRPr="009D1C96" w:rsidRDefault="009D1C96" w:rsidP="009D1C96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Он что-то знает, но молчит.</w:t>
      </w:r>
    </w:p>
    <w:p w:rsidR="009D1C96" w:rsidRPr="009D1C96" w:rsidRDefault="009D1C96" w:rsidP="009D1C96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Не знаю, может, ты и прав.</w:t>
      </w:r>
    </w:p>
    <w:p w:rsidR="009D1C96" w:rsidRPr="009D1C96" w:rsidRDefault="009D1C96" w:rsidP="009D1C96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Он полезней и вкусней.</w:t>
      </w:r>
    </w:p>
    <w:p w:rsidR="009D1C96" w:rsidRPr="009D1C96" w:rsidRDefault="009D1C96" w:rsidP="009D1C96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У первого вагона в семь.</w:t>
      </w:r>
    </w:p>
    <w:p w:rsidR="009D1C96" w:rsidRPr="009D1C96" w:rsidRDefault="009D1C96" w:rsidP="009D1C96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В рассказе Борхеса "Утопия усталого человека" есть такой разговор:</w:t>
      </w:r>
    </w:p>
    <w:p w:rsidR="009D1C96" w:rsidRPr="009D1C96" w:rsidRDefault="009D1C96" w:rsidP="009D1C96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— Это цитата? — спросил я его.</w:t>
      </w:r>
    </w:p>
    <w:p w:rsidR="009D1C96" w:rsidRPr="009D1C96" w:rsidRDefault="009D1C96" w:rsidP="009D1C96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lastRenderedPageBreak/>
        <w:t>— Разумеется. Кроме цитат нам ничего не осталось. Наш язык — система цитат.</w:t>
      </w:r>
    </w:p>
    <w:p w:rsidR="009D1C96" w:rsidRPr="009D1C96" w:rsidRDefault="009D1C96" w:rsidP="009D1C96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Конечно, Стравинский, Блок, Борхес и Рубинштейн — не шизофреники в клиническом смысле. Шизофренической в широком смысле является сама культура XX в. Почему? Пото</w:t>
      </w: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softHyphen/>
        <w:t xml:space="preserve">му что любое психическое расстройство — защита против угрожающей невротику или 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психотику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реальности. XX в. и защитился шизофренической мозаикой от безумных противоре</w:t>
      </w: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softHyphen/>
        <w:t>чий, которые несла реальность чудес бурно развивающейся техники, ужасов мировых войн, геноцидов и тоталитаризма, теории относительности и квантовой механики — всего того, что невозможно было объяснить, оставаясь в рамках уютной модели мира, сформированной предшествующим столетием.</w:t>
      </w:r>
    </w:p>
    <w:p w:rsidR="009D1C96" w:rsidRPr="009D1C96" w:rsidRDefault="009D1C96" w:rsidP="009D1C96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По сути шизофреническое, 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шизотипическое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, шизоидное — это </w:t>
      </w:r>
      <w:r w:rsidRPr="009D1C96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норма </w:t>
      </w: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фундаментальной культуры XX </w:t>
      </w:r>
      <w:proofErr w:type="gram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Герман</w:t>
      </w:r>
      <w:proofErr w:type="gram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Гессе в ро</w:t>
      </w: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softHyphen/>
        <w:t xml:space="preserve">мане про игру в бисер (которая тоже, конечно, образец 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мозаи</w:t>
      </w: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softHyphen/>
        <w:t>ческого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мышления) попытался упорядочить и обезопасить эту “патологическую норму”, сделав из нее утопию. Ничего не вышло. Болезненное, подлинное 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шизотипическое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искусство все-таки в гораздо большей степени адекватно XX в., нежели герметический 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квазиздоровый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мир “Игры в бисер”. </w:t>
      </w:r>
      <w:proofErr w:type="gram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Франц Кафка, Осип Мандельштам, Даниил Хармс, Андрей Плато</w:t>
      </w: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softHyphen/>
        <w:t xml:space="preserve">нов, Михаил Булгаков, Уильям Фолкнер, Сальвадор Дали, Рене 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Магрит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, Жак 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Лакан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, Жиль 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Делез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, Луис 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Бунюэль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, Андрей Тарковский, Хорхе Борхес, 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Милорад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Павич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, Владимир Соро</w:t>
      </w: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softHyphen/>
        <w:t xml:space="preserve">кин — вот подлинные 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мозаические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герои XX в. (см. статьи “Замок”, “Мастер и Маргарита", “Шум и ярость", “Золотой век”, “Зеркало”.</w:t>
      </w:r>
      <w:proofErr w:type="gram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Хазарский словарь", "Норма"/“Роман”, принципы прозы XX в.).</w:t>
      </w:r>
      <w:proofErr w:type="gramEnd"/>
    </w:p>
    <w:p w:rsidR="009D1C96" w:rsidRPr="009D1C96" w:rsidRDefault="009D1C96" w:rsidP="009D1C96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В этом смысле один из самых удивительных персонажей культуры нашего столетия — австро-британский философ Людвиг 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Витгенштейн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, страдавший латентной (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неврозоподобной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формой шизофрении (подробно о 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Витгенштейне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см. статью биография). Будучи автором одного из самых утонченных аутистических произведений (см. статью "Логико-философский трактат"), страдавший 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обсессивными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расстройствами (см. 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обсес-сивный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невроз и 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обсессивный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дискурс), постоянным депрессив</w:t>
      </w: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softHyphen/>
        <w:t>ным чувством вины (см. депрессия), эпилептоидными вспышками ярости, он в то же время поражал знавших его людей, безгра</w:t>
      </w: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softHyphen/>
        <w:t>ничной сангвинической теплотой и альтруизмом.</w:t>
      </w:r>
    </w:p>
    <w:p w:rsidR="009D1C96" w:rsidRPr="009D1C96" w:rsidRDefault="009D1C96" w:rsidP="009D1C96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К концу XX в. большая шизофрения в искусстве все больше отходит на второй план, уступая место 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неврозоподобной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, вяло</w:t>
      </w: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softHyphen/>
        <w:t>текущей, так же как на смену серьезному модернизму Кафки, Дали и Хайдеггера в середине века пришел </w:t>
      </w:r>
      <w:hyperlink r:id="rId8" w:history="1">
        <w:r w:rsidRPr="009D1C96">
          <w:rPr>
            <w:rFonts w:eastAsia="Times New Roman" w:cs="Times New Roman"/>
            <w:color w:val="B62D2D"/>
            <w:sz w:val="28"/>
            <w:szCs w:val="28"/>
            <w:u w:val="single"/>
            <w:lang w:eastAsia="ru-RU"/>
          </w:rPr>
          <w:t>постмодернизм</w:t>
        </w:r>
      </w:hyperlink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, который и есть латентная “нестрашная" </w:t>
      </w: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lastRenderedPageBreak/>
        <w:t xml:space="preserve">шизофрения. </w:t>
      </w:r>
      <w:proofErr w:type="gram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Цитатная техника превращается здесь в безобидный 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пастиш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, психотическое страда</w:t>
      </w: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softHyphen/>
        <w:t xml:space="preserve">ние уступает место вполне приемлемому бытовому безумию, на смену “Поминкам по 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Финнегану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" и “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Чевенгуру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" приходят “Имя розы" и “Тридцатая любовь Марины", на смену 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Бунюэлю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и Тар</w:t>
      </w: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softHyphen/>
        <w:t xml:space="preserve">ковскому — Тарантино и 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Альмадовар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Фундаментальное искус</w:t>
      </w: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softHyphen/>
        <w:t xml:space="preserve">ство и </w:t>
      </w:r>
      <w:proofErr w:type="gram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массовый</w:t>
      </w:r>
      <w:proofErr w:type="gram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соцарт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перемешиваются в одну большую 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моза</w:t>
      </w: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softHyphen/>
        <w:t>ическую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кашу (см. также массовая культура). Эта замечательная полифоническая культурная помойка медленно перемещается в новое тысячелетие.</w:t>
      </w:r>
    </w:p>
    <w:p w:rsidR="009D1C96" w:rsidRPr="009D1C96" w:rsidRDefault="009D1C96" w:rsidP="009D1C96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 </w:t>
      </w:r>
    </w:p>
    <w:p w:rsidR="009D1C96" w:rsidRPr="009D1C96" w:rsidRDefault="009D1C96" w:rsidP="009D1C96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ЛИТЕРАТУРА</w:t>
      </w:r>
    </w:p>
    <w:p w:rsidR="009D1C96" w:rsidRPr="009D1C96" w:rsidRDefault="009D1C96" w:rsidP="009D1C96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Бурно М. Е. О характерах людей. М., 1996.</w:t>
      </w:r>
    </w:p>
    <w:p w:rsidR="009D1C96" w:rsidRPr="009D1C96" w:rsidRDefault="009D1C96" w:rsidP="009D1C96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Добролюбова Е. А. Шизофренический "характер" и тера</w:t>
      </w: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softHyphen/>
        <w:t xml:space="preserve">пия творческим самовыражением // Психотерапия 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малопрогедиентной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шизофрении. I  </w:t>
      </w:r>
      <w:proofErr w:type="spellStart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Консторумские</w:t>
      </w:r>
      <w:proofErr w:type="spellEnd"/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чтения. М, 1996.</w:t>
      </w:r>
    </w:p>
    <w:p w:rsidR="009D1C96" w:rsidRPr="009D1C96" w:rsidRDefault="009D1C96" w:rsidP="009D1C96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t>Волков П. В. Разнообразие человеческих миров: Руково</w:t>
      </w:r>
      <w:r w:rsidRPr="009D1C96">
        <w:rPr>
          <w:rFonts w:eastAsia="Times New Roman" w:cs="Times New Roman"/>
          <w:color w:val="000000"/>
          <w:sz w:val="28"/>
          <w:szCs w:val="28"/>
          <w:lang w:eastAsia="ru-RU"/>
        </w:rPr>
        <w:softHyphen/>
        <w:t>дство по профилактике душевных расстройств. М.: Аграф, 2000.</w:t>
      </w:r>
    </w:p>
    <w:p w:rsidR="001C3ED1" w:rsidRPr="009D1C96" w:rsidRDefault="001C3ED1" w:rsidP="009D1C96">
      <w:pPr>
        <w:ind w:firstLine="709"/>
        <w:jc w:val="both"/>
        <w:rPr>
          <w:sz w:val="28"/>
          <w:szCs w:val="28"/>
        </w:rPr>
      </w:pPr>
    </w:p>
    <w:sectPr w:rsidR="001C3ED1" w:rsidRPr="009D1C96" w:rsidSect="00B678A7">
      <w:footerReference w:type="default" r:id="rId9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A98" w:rsidRDefault="00B75A98" w:rsidP="00F11178">
      <w:pPr>
        <w:spacing w:after="0" w:line="240" w:lineRule="auto"/>
      </w:pPr>
      <w:r>
        <w:separator/>
      </w:r>
    </w:p>
  </w:endnote>
  <w:endnote w:type="continuationSeparator" w:id="0">
    <w:p w:rsidR="00B75A98" w:rsidRDefault="00B75A98" w:rsidP="00F11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479013"/>
      <w:docPartObj>
        <w:docPartGallery w:val="Page Numbers (Bottom of Page)"/>
        <w:docPartUnique/>
      </w:docPartObj>
    </w:sdtPr>
    <w:sdtEndPr/>
    <w:sdtContent>
      <w:p w:rsidR="00F11178" w:rsidRDefault="00F1117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588F">
          <w:rPr>
            <w:noProof/>
          </w:rPr>
          <w:t>1</w:t>
        </w:r>
        <w:r>
          <w:fldChar w:fldCharType="end"/>
        </w:r>
      </w:p>
    </w:sdtContent>
  </w:sdt>
  <w:p w:rsidR="00F11178" w:rsidRDefault="00F1117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A98" w:rsidRDefault="00B75A98" w:rsidP="00F11178">
      <w:pPr>
        <w:spacing w:after="0" w:line="240" w:lineRule="auto"/>
      </w:pPr>
      <w:r>
        <w:separator/>
      </w:r>
    </w:p>
  </w:footnote>
  <w:footnote w:type="continuationSeparator" w:id="0">
    <w:p w:rsidR="00B75A98" w:rsidRDefault="00B75A98" w:rsidP="00F111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C96"/>
    <w:rsid w:val="00120949"/>
    <w:rsid w:val="001C3ED1"/>
    <w:rsid w:val="00571D46"/>
    <w:rsid w:val="006F2190"/>
    <w:rsid w:val="00856F9C"/>
    <w:rsid w:val="009230FC"/>
    <w:rsid w:val="009D1C96"/>
    <w:rsid w:val="00B678A7"/>
    <w:rsid w:val="00B75A98"/>
    <w:rsid w:val="00D84B70"/>
    <w:rsid w:val="00F11178"/>
    <w:rsid w:val="00F3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1C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1C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D1C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D1C96"/>
    <w:rPr>
      <w:color w:val="0000FF"/>
      <w:u w:val="single"/>
    </w:rPr>
  </w:style>
  <w:style w:type="character" w:styleId="a5">
    <w:name w:val="Emphasis"/>
    <w:basedOn w:val="a0"/>
    <w:uiPriority w:val="20"/>
    <w:qFormat/>
    <w:rsid w:val="009D1C96"/>
    <w:rPr>
      <w:i/>
      <w:iCs/>
    </w:rPr>
  </w:style>
  <w:style w:type="paragraph" w:styleId="a6">
    <w:name w:val="header"/>
    <w:basedOn w:val="a"/>
    <w:link w:val="a7"/>
    <w:uiPriority w:val="99"/>
    <w:unhideWhenUsed/>
    <w:rsid w:val="00F11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11178"/>
  </w:style>
  <w:style w:type="paragraph" w:styleId="a8">
    <w:name w:val="footer"/>
    <w:basedOn w:val="a"/>
    <w:link w:val="a9"/>
    <w:uiPriority w:val="99"/>
    <w:unhideWhenUsed/>
    <w:rsid w:val="00F11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111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1C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1C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D1C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D1C96"/>
    <w:rPr>
      <w:color w:val="0000FF"/>
      <w:u w:val="single"/>
    </w:rPr>
  </w:style>
  <w:style w:type="character" w:styleId="a5">
    <w:name w:val="Emphasis"/>
    <w:basedOn w:val="a0"/>
    <w:uiPriority w:val="20"/>
    <w:qFormat/>
    <w:rsid w:val="009D1C96"/>
    <w:rPr>
      <w:i/>
      <w:iCs/>
    </w:rPr>
  </w:style>
  <w:style w:type="paragraph" w:styleId="a6">
    <w:name w:val="header"/>
    <w:basedOn w:val="a"/>
    <w:link w:val="a7"/>
    <w:uiPriority w:val="99"/>
    <w:unhideWhenUsed/>
    <w:rsid w:val="00F11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11178"/>
  </w:style>
  <w:style w:type="paragraph" w:styleId="a8">
    <w:name w:val="footer"/>
    <w:basedOn w:val="a"/>
    <w:link w:val="a9"/>
    <w:uiPriority w:val="99"/>
    <w:unhideWhenUsed/>
    <w:rsid w:val="00F11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111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61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16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haracterology.ru/3580/Philology/Rudnev_postmodernis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haracterology.ru/characterology/characters/Rudnev_characterology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1128</Words>
  <Characters>6433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</dc:creator>
  <cp:lastModifiedBy>Кирилл</cp:lastModifiedBy>
  <cp:revision>6</cp:revision>
  <dcterms:created xsi:type="dcterms:W3CDTF">2023-04-12T02:54:00Z</dcterms:created>
  <dcterms:modified xsi:type="dcterms:W3CDTF">2023-04-12T03:11:00Z</dcterms:modified>
</cp:coreProperties>
</file>