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C" w:rsidRPr="00E53204" w:rsidRDefault="00B5151C" w:rsidP="00D931EF">
      <w:pPr>
        <w:shd w:val="clear" w:color="auto" w:fill="92D050"/>
        <w:spacing w:after="0" w:line="240" w:lineRule="auto"/>
        <w:jc w:val="both"/>
        <w:rPr>
          <w:sz w:val="24"/>
          <w:szCs w:val="24"/>
          <w:u w:val="single"/>
        </w:rPr>
      </w:pPr>
      <w:r w:rsidRPr="00E53204">
        <w:rPr>
          <w:sz w:val="24"/>
          <w:szCs w:val="24"/>
          <w:u w:val="single"/>
        </w:rPr>
        <w:t>Ссылка для цитирования:</w:t>
      </w:r>
    </w:p>
    <w:p w:rsidR="00B5151C" w:rsidRPr="009564A6" w:rsidRDefault="00B5151C" w:rsidP="00D931EF">
      <w:pPr>
        <w:shd w:val="clear" w:color="auto" w:fill="92D050"/>
        <w:spacing w:after="0" w:line="240" w:lineRule="auto"/>
        <w:jc w:val="both"/>
        <w:rPr>
          <w:sz w:val="24"/>
          <w:szCs w:val="24"/>
        </w:rPr>
      </w:pPr>
      <w:bookmarkStart w:id="0" w:name="_GoBack"/>
      <w:r w:rsidRPr="009E2E45">
        <w:rPr>
          <w:b/>
          <w:sz w:val="24"/>
          <w:szCs w:val="24"/>
        </w:rPr>
        <w:t>Горелов К.Е. Психотерапевтический метод ТТС (М.Е. Бурно) и принципы Характерологической креатологии в лечебной, консультативной практике и преподавании</w:t>
      </w:r>
      <w:r w:rsidRPr="00685CB8">
        <w:rPr>
          <w:sz w:val="24"/>
          <w:szCs w:val="24"/>
        </w:rPr>
        <w:t xml:space="preserve"> [Электронный ресурс] // Медицинская психология в России: электрон</w:t>
      </w:r>
      <w:proofErr w:type="gramStart"/>
      <w:r w:rsidRPr="00685CB8">
        <w:rPr>
          <w:sz w:val="24"/>
          <w:szCs w:val="24"/>
        </w:rPr>
        <w:t>.</w:t>
      </w:r>
      <w:proofErr w:type="gramEnd"/>
      <w:r w:rsidRPr="00685CB8">
        <w:rPr>
          <w:sz w:val="24"/>
          <w:szCs w:val="24"/>
        </w:rPr>
        <w:t xml:space="preserve"> </w:t>
      </w:r>
      <w:proofErr w:type="gramStart"/>
      <w:r w:rsidRPr="00685CB8">
        <w:rPr>
          <w:sz w:val="24"/>
          <w:szCs w:val="24"/>
        </w:rPr>
        <w:t>н</w:t>
      </w:r>
      <w:proofErr w:type="gramEnd"/>
      <w:r w:rsidRPr="00685CB8">
        <w:rPr>
          <w:sz w:val="24"/>
          <w:szCs w:val="24"/>
        </w:rPr>
        <w:t xml:space="preserve">ауч. журн. – </w:t>
      </w:r>
      <w:r w:rsidRPr="00B5151C">
        <w:rPr>
          <w:sz w:val="24"/>
          <w:szCs w:val="24"/>
        </w:rPr>
        <w:t>2012</w:t>
      </w:r>
      <w:r w:rsidRPr="00685CB8">
        <w:rPr>
          <w:sz w:val="24"/>
          <w:szCs w:val="24"/>
        </w:rPr>
        <w:t xml:space="preserve">. – N 6 (17). </w:t>
      </w:r>
      <w:r w:rsidRPr="009564A6">
        <w:rPr>
          <w:sz w:val="24"/>
          <w:szCs w:val="24"/>
        </w:rPr>
        <w:t xml:space="preserve">- </w:t>
      </w:r>
      <w:r w:rsidRPr="009564A6">
        <w:rPr>
          <w:sz w:val="24"/>
          <w:szCs w:val="24"/>
          <w:lang w:val="en-US"/>
        </w:rPr>
        <w:t>URL</w:t>
      </w:r>
      <w:r w:rsidRPr="009564A6">
        <w:rPr>
          <w:sz w:val="24"/>
          <w:szCs w:val="24"/>
        </w:rPr>
        <w:t xml:space="preserve">: </w:t>
      </w:r>
      <w:hyperlink r:id="rId7" w:history="1">
        <w:r w:rsidRPr="009564A6">
          <w:rPr>
            <w:rStyle w:val="a5"/>
            <w:sz w:val="24"/>
            <w:szCs w:val="24"/>
            <w:lang w:val="en-US"/>
          </w:rPr>
          <w:t>http</w:t>
        </w:r>
        <w:r w:rsidRPr="009564A6">
          <w:rPr>
            <w:rStyle w:val="a5"/>
            <w:sz w:val="24"/>
            <w:szCs w:val="24"/>
          </w:rPr>
          <w:t>://</w:t>
        </w:r>
        <w:r w:rsidRPr="009564A6">
          <w:rPr>
            <w:rStyle w:val="a5"/>
            <w:sz w:val="24"/>
            <w:szCs w:val="24"/>
            <w:lang w:val="en-US"/>
          </w:rPr>
          <w:t>www</w:t>
        </w:r>
        <w:r w:rsidRPr="009564A6">
          <w:rPr>
            <w:rStyle w:val="a5"/>
            <w:sz w:val="24"/>
            <w:szCs w:val="24"/>
          </w:rPr>
          <w:t>.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medpsy</w:t>
        </w:r>
        <w:proofErr w:type="spellEnd"/>
        <w:r w:rsidRPr="009564A6">
          <w:rPr>
            <w:rStyle w:val="a5"/>
            <w:sz w:val="24"/>
            <w:szCs w:val="24"/>
          </w:rPr>
          <w:t>.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ru</w:t>
        </w:r>
        <w:proofErr w:type="spellEnd"/>
        <w:r w:rsidRPr="009564A6">
          <w:rPr>
            <w:rStyle w:val="a5"/>
            <w:sz w:val="24"/>
            <w:szCs w:val="24"/>
          </w:rPr>
          <w:t>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mprj</w:t>
        </w:r>
        <w:proofErr w:type="spellEnd"/>
        <w:r w:rsidRPr="009564A6">
          <w:rPr>
            <w:rStyle w:val="a5"/>
            <w:sz w:val="24"/>
            <w:szCs w:val="24"/>
          </w:rPr>
          <w:t>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archiv</w:t>
        </w:r>
        <w:proofErr w:type="spellEnd"/>
        <w:r w:rsidRPr="009564A6">
          <w:rPr>
            <w:rStyle w:val="a5"/>
            <w:sz w:val="24"/>
            <w:szCs w:val="24"/>
          </w:rPr>
          <w:t>_</w:t>
        </w:r>
        <w:r w:rsidRPr="009564A6">
          <w:rPr>
            <w:rStyle w:val="a5"/>
            <w:sz w:val="24"/>
            <w:szCs w:val="24"/>
            <w:lang w:val="en-US"/>
          </w:rPr>
          <w:t>global</w:t>
        </w:r>
        <w:r w:rsidRPr="009564A6">
          <w:rPr>
            <w:rStyle w:val="a5"/>
            <w:sz w:val="24"/>
            <w:szCs w:val="24"/>
          </w:rPr>
          <w:t>/2012_6_17/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nomer</w:t>
        </w:r>
        <w:proofErr w:type="spellEnd"/>
        <w:r w:rsidRPr="009564A6">
          <w:rPr>
            <w:rStyle w:val="a5"/>
            <w:sz w:val="24"/>
            <w:szCs w:val="24"/>
          </w:rPr>
          <w:t>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nomer</w:t>
        </w:r>
        <w:proofErr w:type="spellEnd"/>
        <w:r w:rsidRPr="009564A6">
          <w:rPr>
            <w:rStyle w:val="a5"/>
            <w:sz w:val="24"/>
            <w:szCs w:val="24"/>
          </w:rPr>
          <w:t>04.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php</w:t>
        </w:r>
        <w:proofErr w:type="spellEnd"/>
      </w:hyperlink>
      <w:r>
        <w:rPr>
          <w:sz w:val="24"/>
          <w:szCs w:val="24"/>
        </w:rPr>
        <w:t xml:space="preserve"> </w:t>
      </w:r>
      <w:r w:rsidRPr="00685CB8">
        <w:rPr>
          <w:sz w:val="24"/>
          <w:szCs w:val="24"/>
        </w:rPr>
        <w:t xml:space="preserve">(дата обращения: </w:t>
      </w:r>
      <w:r w:rsidR="00C47C45">
        <w:rPr>
          <w:sz w:val="24"/>
          <w:szCs w:val="24"/>
        </w:rPr>
        <w:t>05</w:t>
      </w:r>
      <w:r w:rsidRPr="00685CB8">
        <w:rPr>
          <w:sz w:val="24"/>
          <w:szCs w:val="24"/>
        </w:rPr>
        <w:t>.</w:t>
      </w:r>
      <w:r w:rsidR="00C47C45">
        <w:rPr>
          <w:sz w:val="24"/>
          <w:szCs w:val="24"/>
        </w:rPr>
        <w:t>04</w:t>
      </w:r>
      <w:r w:rsidRPr="00685CB8">
        <w:rPr>
          <w:sz w:val="24"/>
          <w:szCs w:val="24"/>
        </w:rPr>
        <w:t>.202</w:t>
      </w:r>
      <w:r w:rsidR="00F103AB">
        <w:rPr>
          <w:sz w:val="24"/>
          <w:szCs w:val="24"/>
        </w:rPr>
        <w:t>3</w:t>
      </w:r>
      <w:r w:rsidRPr="00685CB8">
        <w:rPr>
          <w:sz w:val="24"/>
          <w:szCs w:val="24"/>
        </w:rPr>
        <w:t>)</w:t>
      </w:r>
    </w:p>
    <w:bookmarkEnd w:id="0"/>
    <w:p w:rsidR="00B5151C" w:rsidRDefault="00B5151C" w:rsidP="003C67E5">
      <w:pPr>
        <w:shd w:val="clear" w:color="auto" w:fill="FFFFFF"/>
        <w:spacing w:after="0" w:line="240" w:lineRule="auto"/>
        <w:ind w:right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B5151C" w:rsidRDefault="00B5151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60126C" w:rsidRPr="003C67E5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ПСИХОТЕРАПЕВТИЧЕСКИЙ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МЕТОД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ТЕРАПИИ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ТВОРЧЕСКИМ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САМОВЫРАЖЕНИЕМ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(М.Е.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БУРНО)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ПРИНЦИПЫ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ХАРАКТЕРОЛОГИЧЕСКОЙ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КРЕАТОЛОГИИ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В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ЛЕЧЕБНОЙ,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КОНСУЛЬТАТИВНОЙ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ПРАКТИКЕ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ПРЕПОДАВАНИИ</w:t>
      </w:r>
      <w:hyperlink r:id="rId8" w:anchor="snoska" w:history="1">
        <w:r w:rsidRPr="003C67E5">
          <w:rPr>
            <w:rFonts w:eastAsia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ru-RU"/>
          </w:rPr>
          <w:t>1</w:t>
        </w:r>
      </w:hyperlink>
      <w:bookmarkStart w:id="1" w:name="vozvrat1"/>
      <w:bookmarkEnd w:id="1"/>
    </w:p>
    <w:p w:rsidR="0060126C" w:rsidRPr="003C67E5" w:rsidRDefault="0060126C" w:rsidP="0060126C">
      <w:pPr>
        <w:shd w:val="clear" w:color="auto" w:fill="FFFFFF"/>
        <w:spacing w:before="450" w:after="4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Горелов</w:t>
      </w:r>
      <w:r w:rsidR="00447A1D"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К.Е.</w:t>
      </w:r>
      <w:r w:rsidR="00447A1D"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(Москва)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050"/>
      </w:tblGrid>
      <w:tr w:rsidR="0060126C" w:rsidRPr="00C47C45" w:rsidTr="0060126C">
        <w:trPr>
          <w:tblCellSpacing w:w="30" w:type="dxa"/>
        </w:trPr>
        <w:tc>
          <w:tcPr>
            <w:tcW w:w="1440" w:type="dxa"/>
            <w:shd w:val="clear" w:color="auto" w:fill="FFFFFF"/>
            <w:hideMark/>
          </w:tcPr>
          <w:p w:rsidR="0060126C" w:rsidRPr="00447A1D" w:rsidRDefault="0060126C" w:rsidP="006012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7A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27AC8" wp14:editId="418D1476">
                  <wp:extent cx="906780" cy="1249680"/>
                  <wp:effectExtent l="0" t="0" r="7620" b="7620"/>
                  <wp:docPr id="16" name="Рисунок 16" descr="http://www.medpsy.ru/mprj/pictures/pic12_6_04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dpsy.ru/mprj/pictures/pic12_6_04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FFFFFF"/>
            <w:hideMark/>
          </w:tcPr>
          <w:p w:rsidR="0060126C" w:rsidRPr="00447A1D" w:rsidRDefault="0060126C" w:rsidP="0060126C">
            <w:pPr>
              <w:spacing w:before="75" w:after="0" w:line="240" w:lineRule="auto"/>
              <w:ind w:left="300" w:right="15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Горелов</w:t>
            </w:r>
            <w:r w:rsidR="00447A1D"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Кирилл</w:t>
            </w:r>
            <w:r w:rsidR="00447A1D"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Евгеньевич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врач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психиатр,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психотерапевт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Психоневрологического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диспансера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Москвы;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ст.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преподаватель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факультета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Психологического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консультирования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городского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психолого-педагогического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университета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(МГППУ).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E-mail: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kirillgorelov@ya.ru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Сайт</w:t>
            </w: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: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www.kirillgorelov.ru</w:t>
            </w:r>
          </w:p>
        </w:tc>
      </w:tr>
    </w:tbl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val="en-US"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val="en-US"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150"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Аннотация.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Автор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приглашает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размышлению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возможности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необходимости,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направлении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адаптации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сложных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методов,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позволяющей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расширить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диапазон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применения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(лечебной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работе),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облегчить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ознакомление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основами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методов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процессе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преподавания.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опыту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многолетней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врача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психиатра,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психотерапевта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Центрального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отделения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медицинской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генетики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«Семья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Брак»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Клинической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больницы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№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84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ФМБА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России,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Психоневрологического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диспансера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№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20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ЮВАО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Москвы,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преподавания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Государственном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образовательном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учреждении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высшего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профессионального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образования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«Московском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городском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психолого-педагогическом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университете».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примере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методом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Терапии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творческим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самовыражением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(М.Е.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Бурно)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креатологии.</w:t>
      </w:r>
    </w:p>
    <w:p w:rsidR="0060126C" w:rsidRPr="00447A1D" w:rsidRDefault="0060126C" w:rsidP="0060126C">
      <w:pPr>
        <w:shd w:val="clear" w:color="auto" w:fill="FFFFFF"/>
        <w:spacing w:before="150"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Ключевые</w:t>
      </w:r>
      <w:r w:rsidR="00447A1D"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слова: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психология,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консультирование,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психотерапия,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образование,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клиническая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характерология,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креатология,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Терапия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творческим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самовыражением,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ТТС,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ТТСБ.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150"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Ссылка</w:t>
      </w:r>
      <w:r w:rsidR="00447A1D"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для</w:t>
      </w:r>
      <w:r w:rsidR="00447A1D"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цитирования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размещена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конце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публикации.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200" w:after="0" w:line="240" w:lineRule="auto"/>
        <w:ind w:left="900" w:right="15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Введение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сорока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успешно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применяется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Терапии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творческим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самовыражением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М.Е.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Бурно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(ТТСБ)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разрабатываемый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Бурно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последователями.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внедряются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креатологии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(ХК)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вышедшей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очередь,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помогает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тяжело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страдающим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людям,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вплоть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ситуаций,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квалифицируется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диагноза.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Изначально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создавался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чувством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собственной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малоценности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стеснительности,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ранимости</w:t>
      </w:r>
      <w:hyperlink r:id="rId10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2</w:t>
        </w:r>
      </w:hyperlink>
      <w:bookmarkStart w:id="2" w:name="vozvrat2"/>
      <w:bookmarkEnd w:id="2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выраженным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акцентуированием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специфическим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эндогенно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процессуальными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обнаружилась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лечебная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эффективность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креатология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(ХК)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востребована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педагогике,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самосовершенствования,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консультировании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способ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политической,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экономической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народов,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исходя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типичных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особенностей</w:t>
      </w:r>
      <w:hyperlink r:id="rId11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3</w:t>
        </w:r>
      </w:hyperlink>
      <w:bookmarkStart w:id="3" w:name="vozvrat3"/>
      <w:bookmarkEnd w:id="3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сплетены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единое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несколько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совершенствующих,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оздоравливающих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механизмов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креативный,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психагогический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рациональный,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групповой,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поведенческий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тренировочный,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суггестивный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подход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вместе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самобытная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модель,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прочего,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ещё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способом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интерпретации,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познания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Содержательно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начинается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познания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элементов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естествознания)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продолжается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последующем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истинному.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задуманное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проясняющего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деле)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постижения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тела)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реализации.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открытием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неповторимого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предназначения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позволяющего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полезно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интегрироваться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сложную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Человечества.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уточнить,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душевно-природные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рассматриваются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умозрительно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гипотетическом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плане,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эклектически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клинико-реалистически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материальное,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«земное»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hyperlink r:id="rId12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4</w:t>
        </w:r>
      </w:hyperlink>
      <w:bookmarkStart w:id="4" w:name="vozvrat4"/>
      <w:bookmarkEnd w:id="4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гуманистически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одухотворено,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смысле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(М.Е.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Бурно,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2012)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[3].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Оздоравливающая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атмосфера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вдохновения,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сказал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Селье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саногенного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стресса</w:t>
      </w:r>
      <w:hyperlink r:id="rId13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5</w:t>
        </w:r>
      </w:hyperlink>
      <w:bookmarkStart w:id="5" w:name="vozvrat5"/>
      <w:bookmarkEnd w:id="5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предлагаемого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содержания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стиля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числе,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реалистического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театра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(РПТ)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Результатом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глубинное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ясное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целебное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оживление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просветление,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выздоровление.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Совершенствуется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закономерностей,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происходит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и/или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уточнение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предназначения.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подводят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теория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найденного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вновь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открытого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совместной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работы.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элементом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становиться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формирующаяся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убежденность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типаж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«сильные»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стороны.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«сильные»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качества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«двумя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сторонами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медали».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«слабость»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становиться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«силой»,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востребованным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свойством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определённых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условиях.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определённых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условиях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«слабости»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находить,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формировать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правильные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благополучного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развития,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реализации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потенциала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собственной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существования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согласии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людьми.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Наилучшим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вышесказанного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реализуется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атмосфере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вдохновения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размышления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действия.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основаны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парадигме,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проникнуты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клиницизмом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«Отец»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прямо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отвечает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гиппократовсокому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принципу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помогать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защищаться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совершеннее».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Natura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sanat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medicus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curat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morbos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один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ставших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знаменитыми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заветов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основоположника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ветви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Гиппократа.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Врач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лечит,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назначает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исцеляет,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излечивает…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Чтобы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помогать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защищаться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совершеннее,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нужно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совершеннее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природу.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Причём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речь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идёт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целостной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физическая,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(душевная,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духовная).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неразделимые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сложной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составляющей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природу.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парадигма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берет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V-IV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н.э.,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Косской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знаний,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принадлежал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Гиппократ.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страдание,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смысле,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рассматривалось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организма.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рассматривается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медицине.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личностная,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Поэтому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занимает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характерологии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(Эрнст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Кречмер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1995)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[8],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(Карл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Леонгард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1989)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[9],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(П.Б.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Ганнушкин,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2000)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[5],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(А.Е.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Личко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1983</w:t>
      </w:r>
      <w:hyperlink r:id="rId14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6</w:t>
        </w:r>
      </w:hyperlink>
      <w:bookmarkStart w:id="6" w:name="vozvrat6"/>
      <w:bookmarkEnd w:id="6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[10],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(М.Е.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Бурно,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2005)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[2],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(П.В.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Волков,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2000)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[4],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(В.В.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Пономаренко,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2008)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[12]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др.</w:t>
      </w:r>
    </w:p>
    <w:p w:rsidR="0060126C" w:rsidRPr="00447A1D" w:rsidRDefault="0060126C" w:rsidP="0060126C">
      <w:pPr>
        <w:shd w:val="clear" w:color="auto" w:fill="FFFFFF"/>
        <w:spacing w:before="200" w:after="0" w:line="240" w:lineRule="auto"/>
        <w:ind w:left="900" w:right="15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Востребование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медиативных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услуг</w:t>
      </w:r>
      <w:proofErr w:type="gramStart"/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br/>
        <w:t>О</w:t>
      </w:r>
      <w:proofErr w:type="gramEnd"/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структуре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контингента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трудностями,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недавнего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принято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медиацией</w:t>
      </w:r>
      <w:hyperlink r:id="rId15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7</w:t>
        </w:r>
      </w:hyperlink>
      <w:bookmarkStart w:id="7" w:name="vozvrat7"/>
      <w:bookmarkEnd w:id="7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встречается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наблюдения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складываются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многолетней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деятельности.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преимущественно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пограничными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(невротическими)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доминируют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численности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граждан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20-29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30-39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ежедневной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опубликованных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Например,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«Клинические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характеристики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психическими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платные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центры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профиля»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Г.М.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Румянцева,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А.Л.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Степанов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(2011)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[15]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приводят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</w:p>
    <w:p w:rsidR="0060126C" w:rsidRPr="00447A1D" w:rsidRDefault="0060126C" w:rsidP="0060126C">
      <w:pPr>
        <w:shd w:val="clear" w:color="auto" w:fill="FFFFFF"/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Распределение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больных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полу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возрасту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(выделение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жирным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шрифтом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К.Г.)</w:t>
      </w:r>
    </w:p>
    <w:p w:rsidR="0060126C" w:rsidRPr="00447A1D" w:rsidRDefault="0060126C" w:rsidP="006012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56C97C" wp14:editId="087C72FE">
            <wp:extent cx="6355080" cy="1074420"/>
            <wp:effectExtent l="0" t="0" r="7620" b="0"/>
            <wp:docPr id="15" name="Рисунок 15" descr="http://www.medpsy.ru/mprj/pictures/pic12_6_0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dpsy.ru/mprj/pictures/pic12_6_04_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Сопоставим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распределению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соответственно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диагностическим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категориям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МКБ-10</w:t>
      </w:r>
      <w:hyperlink r:id="rId17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8</w:t>
        </w:r>
      </w:hyperlink>
      <w:bookmarkStart w:id="8" w:name="vozvrat8"/>
      <w:bookmarkEnd w:id="8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</w:p>
    <w:p w:rsidR="0060126C" w:rsidRPr="00447A1D" w:rsidRDefault="0060126C" w:rsidP="0060126C">
      <w:pPr>
        <w:shd w:val="clear" w:color="auto" w:fill="FFFFFF"/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Распределение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психических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расстройств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диагностическим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категориям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МКБ-10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(выделение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жирным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шрифтом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К.Г.)</w:t>
      </w:r>
    </w:p>
    <w:p w:rsidR="0060126C" w:rsidRPr="00447A1D" w:rsidRDefault="0060126C" w:rsidP="006012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541EB1" wp14:editId="1B2A2A6B">
            <wp:extent cx="5509260" cy="1790700"/>
            <wp:effectExtent l="0" t="0" r="0" b="0"/>
            <wp:docPr id="14" name="Рисунок 14" descr="http://www.medpsy.ru/mprj/pictures/pic12_6_0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dpsy.ru/mprj/pictures/pic12_6_04_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приведенных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20-29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30-39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составляют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максимум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амбулаторной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пограничными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(невротические,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связанные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соматоформные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рубрика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F40-F49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МКБ-10).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уточняют: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«…Пациенты,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страдавшие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связанными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людьми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трудоспособного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17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45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неженатые/незамужние,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различной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степени…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адаптированные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социально.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анамнезе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определялись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различные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семейные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психотравмирующие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вредности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правило,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порождали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поддерживали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усвоенные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дисфункциональные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отношения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провоцировали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усиливали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декомпенсировалось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влиянием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повседневных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факторов.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пациентам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рекомендована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проводилась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групповая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терапия…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сочетании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психотерапией…»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(Г.М.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Румянцева,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А.Л.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Степанов,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2011.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37)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[15].</w:t>
      </w:r>
      <w:proofErr w:type="gramEnd"/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контингент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формулирует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запрос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семейных,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служебных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конфликтов,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востребуя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своеобразную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интеграцию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различного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Большинство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старшего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поколения,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серьёзными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проблемами.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«совсем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обратившегося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возможно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обозначить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серьёзным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нозологическим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диагнозом.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Причин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положения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затягивание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продолжают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разрастаться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углубляться.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Происходит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из-за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традиционно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присущего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старшего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поколения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консерватизма,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из-за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меньшей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информационной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осведомленности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старшего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отсутствия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большинства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четкого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«психология»,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«психотерапия».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Из-за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отсутствия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разницы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между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областями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«психиатрией»,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предубеждения,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«всё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«нормальных»,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Добавим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сюда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что-то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случайно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прочитанное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услышанное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«карательные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институты»,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незримо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витающее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чудовищной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мешаниной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поймём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причину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почему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постарше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психотерапевтам.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многих,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успел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пожить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СССР,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застал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зрелом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последовавшую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развалом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Советского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Союза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огульную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критику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хорошего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плохого,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смешались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правда,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вымысел.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Коснулось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сожалению,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отрасли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отозвавшись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предубеждением,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недоверием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психотерапевтам,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психиатрам.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Поэтому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«медиация»,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обозначенные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Международного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Конгресса,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масштабность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подтверждается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работой…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преимуществу,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молодыми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людьми.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Актуальность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Конгресса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подтверждается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многочисленными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обращениями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подобными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услугами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«психолог»,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«психотерапевт»,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«психиатр»,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«психоаналитик»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означают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исключительно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профессиональную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принадлежность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носителя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несут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дополнительного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негативного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подтекста.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предназначении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деятельности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формировались,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степени,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пространстве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масс-медиа.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радио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телевизионных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трансляций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10-15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многочисленных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отечественных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зарубежных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ток-шоу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участием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экспертов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вышеперечисленных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профессий.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показами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телевидению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прокате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(видео-салоны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кинотеатры)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фильмов,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взаимоотношений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глубоко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исследуются,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определяющими</w:t>
      </w:r>
      <w:hyperlink r:id="rId19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9</w:t>
        </w:r>
      </w:hyperlink>
      <w:bookmarkStart w:id="9" w:name="vozvrat9"/>
      <w:bookmarkEnd w:id="9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Боб?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What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About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Bob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?),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режиссёр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Фрэнк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Анализируй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Analyze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This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1999,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Харольд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Рэмис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ума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любви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Mozart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and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Whale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2005,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Петтер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Нэсс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Игры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разума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(A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Beautiful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Mind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Ховард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Инстинкт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Instinct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1999,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Тёртелтауб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Комната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сына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La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stanza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del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figlio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режиссёр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Нанни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Моретти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Лучше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бывает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Good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It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Gets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1997,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Джеймс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Брукс;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Мистер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Джонс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Mr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Jones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1993,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Майк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Фиггис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  <w:proofErr w:type="gramEnd"/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Don't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Say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Word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Гэри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Флидер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Приятные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минуты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гарантии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Hezké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chvilky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bez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záruky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2006,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Хитилова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Пролетая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гнездом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кукушки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One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Flew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Over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Cuckoo's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Nest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1975,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Милош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Форман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Повелитель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приливов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Prince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Tides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Барбра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Стрейзанд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Психоаналитик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Shrink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2009,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Джонас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Пейт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Тайны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ложь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Secrets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&amp;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Lies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1996,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сценария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Майк</w:t>
      </w:r>
      <w:proofErr w:type="gramStart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дождя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Rain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Man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1988,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Барри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Левинсон;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Чужая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ошибка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It’s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not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our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fault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colpa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abbiamo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noi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2003,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Карло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Вердоне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киноленты.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фигуры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психоаналитиков,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играют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значимые,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сюжетообразующие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роли.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Комедии,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трагедии,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лирические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истории…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перечисленные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малая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крупица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упомянутых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разных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выпуска,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ставших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доступными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вниманию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России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новейшее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90-х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дней.</w:t>
      </w:r>
    </w:p>
    <w:p w:rsidR="0060126C" w:rsidRPr="00447A1D" w:rsidRDefault="0060126C" w:rsidP="0060126C">
      <w:pPr>
        <w:shd w:val="clear" w:color="auto" w:fill="FFFFFF"/>
        <w:spacing w:before="200" w:after="0" w:line="240" w:lineRule="auto"/>
        <w:ind w:left="900" w:right="15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Клиент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(пациент)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всегда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«прав»?!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амбулаторной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вспомогательным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звеном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помощником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самостоятельным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и/или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конфликтных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ситуаций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исключительно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разумению,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желанию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инициирует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поддерживает,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прекращает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восстанавливает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контакт.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поэтому,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Конгресса,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приобретают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усилия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(психотерапевта,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интереса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очевидных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способов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создания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залогом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дальнейшего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заинтересованности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изначальная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ясность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принцип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преподавании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этапах.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лечебной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обратившихся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преподавании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будущим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специалистам.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следовать?!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Подбирая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ориентироваться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доступность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конкретных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клиентов.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Кроме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речь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применении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случае,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заявленных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консультаций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признать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разработки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доступно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«массового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клиента».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сознания?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ориентироваться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имеющиеся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данные.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2007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исследовательская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(Иванникова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Е.И.,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Мартюхина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В.С.,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Зюзина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А.В.)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руководством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кандидата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Ефремовой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Ж.Д.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проводила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социологическое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Ливны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Орловской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области: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характеристика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стиля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молодёжи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провинции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[7].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несколько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задач: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анализ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стиля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молодежи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провинции,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выявление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проблем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Думается,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результаты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небольшой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погрешностью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могут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спроецированы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Россию.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Приведу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результатов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проведения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молодёжью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Подчеркну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момента: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принимали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участие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респонденты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14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30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Причём,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получающих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высшее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опрошенных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составляла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63%,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вторая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деталь.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предпочитаете,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прежде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расходовать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время?»,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получены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ответы,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привожу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порядку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убывания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</w:t>
      </w:r>
    </w:p>
    <w:p w:rsidR="0060126C" w:rsidRPr="00447A1D" w:rsidRDefault="0060126C" w:rsidP="0060126C">
      <w:pPr>
        <w:shd w:val="clear" w:color="auto" w:fill="FFFFFF"/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Результаты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опроса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исследуемой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аудитории,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частота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распределения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ответов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вопрос: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«На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Вы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предпочитаете,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прежде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всего,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расходовать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свободное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время?»</w:t>
      </w:r>
    </w:p>
    <w:p w:rsidR="0060126C" w:rsidRPr="00447A1D" w:rsidRDefault="0060126C" w:rsidP="006012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BAA149A" wp14:editId="06E52799">
            <wp:extent cx="5753100" cy="1432560"/>
            <wp:effectExtent l="0" t="0" r="0" b="0"/>
            <wp:docPr id="13" name="Рисунок 13" descr="http://www.medpsy.ru/mprj/pictures/pic12_6_0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dpsy.ru/mprj/pictures/pic12_6_04_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«Какие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книги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читать?»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высокий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процент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ответов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утверждением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люблю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читать»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39,6%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респондентов.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40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процентов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опрошенных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граждан.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Оставшаяся,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читающая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распределила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предпочтения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следующим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образом: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романтическую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литературу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16%;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приключенческую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15,8%;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криминальную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13,7%;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научно-популярную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10,5%;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общественно-политическую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5,5%.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романтическая,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приключенческая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криминальная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литература,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двух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научно-популярная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общественно-политическая.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осуществляя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медиативную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отношению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методикам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крайней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начальное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обучение),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считаться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вышеприведенными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фактами.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исследуемой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приведённом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социологическом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опросе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привычное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проведение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находится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просмотр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телевизора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1-м.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Следовательно,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подачи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учебного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должна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опосредоваться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ясным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языком,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примерами.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идти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примерами?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вывод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очевиден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терпеливо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заимствовать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метафоры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оттуда.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мысль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наводит,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имеющаяся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удачного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учебной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объяснения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аспектов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относительно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иллюстративных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(учебных)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Например,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предлагаемых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П.В.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Волковым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книге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«Разнообразие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2000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[4].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взятые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источников,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отечественных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зарубежных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фильмов,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зачастую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воспринимаются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большинством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консультируемых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равно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студентов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бóльшим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интересом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интенсивным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подкреплением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познания,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нежели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взятые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произведений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19-го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20-го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используемые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ранее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считаться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программы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предмету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«литература»,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вызывающих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вопросительные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растерянные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взгляды,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улыбки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угасание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интереса,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«всё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сложно,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нудно,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странно,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непонятно…»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Конечно,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применение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иллюстративного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почерпнутого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мейнстрима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особенности.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стороны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хорошо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ознакомления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азбукой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быстро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осознаётся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благодаря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ясному,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простому,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прозрачному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понятийному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контексту,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подкреплённому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позитивными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эмоциями.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Однако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дальнейшее,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знакомства,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научно-практические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глубúны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тонкости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требует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размышлений,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классических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mainstream</w:t>
      </w:r>
      <w:hyperlink r:id="rId21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10</w:t>
        </w:r>
      </w:hyperlink>
      <w:bookmarkStart w:id="10" w:name="vozvrat10"/>
      <w:bookmarkEnd w:id="10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капризен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изменчив.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узнаваемые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сегодня,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удачные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иллюстративные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материалы…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могут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«очень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узнаваемыми»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сегодня.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забыло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следовательно,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выявлению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медиативного,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обучающего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должна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вестись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непрерывно.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постоянная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работа.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удачных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новаторских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изучаемых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имеющемуся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опыту,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персонажей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(взрослых)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«мультсериалов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взрослых».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хорошо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молодежной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Нет-нет,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«про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секс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эротику»,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некоторые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могли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подумать.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Речь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идёт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анимации,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подобной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сериалам: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«Американский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папаша»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American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Dad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Гриффины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оригинале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Family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Guy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дословный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англ.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«Семьянин»),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«Дарья»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Daria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«Домашнее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видео»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Home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Movies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«Симпсоны»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Simpsons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Футурама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Futurama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«Царь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горы»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King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Hill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«Южный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парк»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South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Park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Например,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(Дарья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Моргендорфер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Daria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Morgendorffer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героиня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известного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одноименного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мультипликационного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Daria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позволяет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гораздо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быстрее,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хотя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сжатой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донести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начинающих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наполнение,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вкладывается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замкнуто–углублённого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акцентуации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дальнейшем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«сгущении»,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вплоть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принято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аутистическим.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смотрел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сразу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чёткие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вспоминают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Дарью…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интеллектуальна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философична,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довольно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степени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отгорожена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1).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2CCF48" wp14:editId="7218C78F">
            <wp:extent cx="1234440" cy="2857500"/>
            <wp:effectExtent l="0" t="0" r="3810" b="0"/>
            <wp:docPr id="12" name="Рисунок 12" descr="http://www.medpsy.ru/mprj/pictures/pic12_6_04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dpsy.ru/mprj/pictures/pic12_6_04_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1.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Моргендорфер</w:t>
      </w:r>
      <w:hyperlink r:id="rId23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11</w:t>
        </w:r>
      </w:hyperlink>
      <w:bookmarkStart w:id="11" w:name="vozvrat11"/>
      <w:bookmarkEnd w:id="11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Подчёркнуто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игнорирующая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внешнее,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невзрачной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утилитарной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одежде,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прячущей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фигуру,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очках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оправой,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скрывающих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«отгородилась»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мира.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Обыденные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заботы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переживания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повседневная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родителей,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одноклассников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вызывают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отклика,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создавая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впечатление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холодности.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голос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какой-то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«механический»,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модуляций.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живых,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красочных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модуляций,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меньшей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уверенности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существовании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«себя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любимой»,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героини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младшей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сестры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Quinn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Morgendorffer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BACA0F3" wp14:editId="68A7689C">
            <wp:extent cx="998220" cy="2857500"/>
            <wp:effectExtent l="0" t="0" r="0" b="0"/>
            <wp:docPr id="11" name="Рисунок 11" descr="http://www.medpsy.ru/mprj/pictures/pic12_6_0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dpsy.ru/mprj/pictures/pic12_6_04_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2.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Моргендорфер</w:t>
      </w:r>
      <w:hyperlink r:id="rId25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12</w:t>
        </w:r>
      </w:hyperlink>
      <w:bookmarkStart w:id="12" w:name="vozvrat12"/>
      <w:bookmarkEnd w:id="12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Вот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воплощение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совокупности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черт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демонстративного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инфантильно–ювенильного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типажей,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свидания,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«крутизна»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глазах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окружающих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наполнена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яркая,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«через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край»,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внешне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привлекательная,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популярна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тусовки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богатые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преимущественно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обслуживают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эгоцентрические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установки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девушки.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Ещё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вице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президент,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называемого,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клуба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неофициального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сообщества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клёвых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«крутых»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школьников.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стесняется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«немодной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непопулярной»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сестры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единственным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ребёнком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семье…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Дарья…,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двоюродная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сестра…».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«прислуге»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«постороннем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человеке».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651CCF" wp14:editId="370F1FDF">
            <wp:extent cx="3368040" cy="2545080"/>
            <wp:effectExtent l="0" t="0" r="3810" b="7620"/>
            <wp:docPr id="10" name="Рисунок 10" descr="http://www.medpsy.ru/mprj/pictures/pic12_6_04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dpsy.ru/mprj/pictures/pic12_6_04_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3.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hyperlink r:id="rId27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13</w:t>
        </w:r>
      </w:hyperlink>
      <w:bookmarkStart w:id="13" w:name="vozvrat13"/>
      <w:bookmarkEnd w:id="13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Сродни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окружение,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подруги.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подыгрывают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желая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что-либо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сказать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произносят: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«…та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странная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девушка,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семье…».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непритязательном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Питере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Гриффине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мультипликационного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Гриффины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неинтеллигентном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персонаже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(«Симпсоны»)…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гораздо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легче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продуктивно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иллюстрируют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новичков,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впервые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прикасающихся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целями)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признаки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органического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радикала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обыденной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мозаикой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радикалов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огрубленности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нежели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предлагаемые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прежде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классические,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увы,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малознакомые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ныне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жизнетворчество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Роберта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Фроста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героях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отечественных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писателей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«деревенщиков»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60-х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века.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4)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семейства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Симпсонов.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отличается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тонким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высоким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интеллектом,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желании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немалого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добиться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466C6D" wp14:editId="5ABA7733">
            <wp:extent cx="1592580" cy="2011680"/>
            <wp:effectExtent l="0" t="0" r="7620" b="7620"/>
            <wp:docPr id="9" name="Рисунок 9" descr="http://www.medpsy.ru/mprj/pictures/pic12_6_04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edpsy.ru/mprj/pictures/pic12_6_04_7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4.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</w:t>
      </w:r>
      <w:hyperlink r:id="rId29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14</w:t>
        </w:r>
      </w:hyperlink>
      <w:bookmarkStart w:id="14" w:name="vozvrat14"/>
      <w:bookmarkEnd w:id="14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ленив,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слишком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вкусно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поесть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(пиво,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пончики),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посмотреть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телевизор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(шоу,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футбол).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жену,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детей.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сожалению,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последовательности.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добродетелен,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закипает,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эмоционален,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грубоват.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тотально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злобен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порочен,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перестает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несмотря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пути.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«…качества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замечательной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личностью,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заставляют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признать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кое-что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достойное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восхищения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заставляют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скучать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мира…»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пишет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Раджа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Халвани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книге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««Симпсоны»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философия»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(2005),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Аристотель.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[16].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Свойственны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мировоззрения,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высказывания: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«…Когда-то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моя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мать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сказала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одну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фразу,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которая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преследует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меня: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«Гомер,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большое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разочарование».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ведь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что-то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имела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виду,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упокой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Господь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душу…»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негодованием,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жене: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«Если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будешь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злиться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меня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каждый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делаю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глупость,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придется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прекратить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делать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глупости!»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снисходит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«просветление»: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наконец-то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пойму,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ответы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жизненные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вопросы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находятся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бутылки…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Они…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телевизоре!»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Показ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видео-файла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отрывка,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назовём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муха»: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обеденным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столом,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аппетитный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кусок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курицы,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початок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отварной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кукурузы,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тарелка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аппетитно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поглощает.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Раздается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жужжание,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появившаяся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откуда-то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надоедливо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кружиться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едой.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делать,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отогнать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поочерёдно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сожалением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смотрит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руки,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продолжает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полёт,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обнаглела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настолько,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тарелку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«решение»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размаху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бьёт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муху…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головой.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Подскакивает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звенит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посуда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столу.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возводит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кверху,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расплывается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довольная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улыбка,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раздавленная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прилипла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лбу,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повержена.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Показ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фрагмента,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философствует»: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Сидящего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любимом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баре,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захмелевшего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выпитого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потянуло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«глубокомысленную»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философию: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«…синий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M&amp;M's</w:t>
      </w:r>
      <w:hyperlink r:id="rId30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15</w:t>
        </w:r>
      </w:hyperlink>
      <w:bookmarkStart w:id="15" w:name="vozvrat15"/>
      <w:bookmarkEnd w:id="15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красный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M&amp;M's</w:t>
      </w:r>
      <w:proofErr w:type="spellEnd"/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…все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под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конец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становятся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одного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цвета…».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proofErr w:type="spellEnd"/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5)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простоватый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толстяк.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Многочисленные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приключения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происходят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ним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из-за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того,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способен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извлекать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глубокомысленные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уроки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чужих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ошибок.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447A1D">
      <w:pPr>
        <w:spacing w:after="0" w:line="240" w:lineRule="auto"/>
        <w:jc w:val="center"/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3E7BC50E" wp14:editId="2D4388A6">
            <wp:extent cx="1600200" cy="2301240"/>
            <wp:effectExtent l="0" t="0" r="0" b="3810"/>
            <wp:docPr id="8" name="Рисунок 8" descr="http://www.medpsy.ru/mprj/pictures/pic12_6_04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edpsy.ru/mprj/pictures/pic12_6_04_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after="0" w:line="240" w:lineRule="auto"/>
        <w:ind w:left="150" w:right="150"/>
        <w:jc w:val="center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5.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hyperlink r:id="rId32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16</w:t>
        </w:r>
      </w:hyperlink>
      <w:bookmarkStart w:id="16" w:name="vozvrat16"/>
      <w:bookmarkEnd w:id="16"/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тщеславен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уверен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гениальности: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гениальная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голова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разорвалась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начал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понимать,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говорю…».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бывает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трусоват,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жаден.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«гениальные»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правило,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приводят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неприятностям.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Будучи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взрослым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подурачиться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ребёнок.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грубых,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неуместных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шуток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страдает.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видео–файла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Содержание: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Гриффину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очередная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«пошутить».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Предварительно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положив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тротуар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банковскую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банкноту,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прячется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ближайшее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дерево.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веревку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подвешивает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дерево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тяжёлую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удерживает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падения.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Видимо,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задумал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обрушить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голову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прохожего,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заинтересуется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оставленной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дороге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банкнотой.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Изготовившись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предвкушении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«развлечения»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позиции,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«замечает»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банкноту…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резко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прерывает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монотонный,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довольный,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дурашливо-злорадный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смех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криками: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«О-о-о,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доллар!!!»,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срывается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места,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успеть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жадно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схватить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«оставленный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кем-то»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неряшливых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размышлении,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памяти,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простоте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непосредственности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совсем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забыл,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оставил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непроизвольно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отпускает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верёвку,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удерживающую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падает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голову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Гриффина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почему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Дарья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Моргендорфер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другие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герои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популярных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анимационных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ясны,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аудитории?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…потому,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лучше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знакомы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аудитории.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Думается,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бесчисленные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истории,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известных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ныне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прекрасно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доступная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азбука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изучении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характерологии)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метафоры</w:t>
      </w:r>
      <w:hyperlink r:id="rId33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17</w:t>
        </w:r>
      </w:hyperlink>
      <w:bookmarkStart w:id="17" w:name="vozvrat17"/>
      <w:bookmarkEnd w:id="17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Метафоры,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ориентируются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ведущим,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доносят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закономерности,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ценную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непрямой,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символической,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форме.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оказывая,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излишнего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давления.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претендуя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«переворот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мировоззрения»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создавая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ощущения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насильного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«свою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веру»,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понуждая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признавать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единственную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истину.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Несмотря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истории,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происходящие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персонажами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«ненастоящие»,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сказочные,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символические,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имеет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чёткую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смысловую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законченность.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Имеет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«характер»</w:t>
      </w:r>
      <w:hyperlink r:id="rId34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18</w:t>
        </w:r>
      </w:hyperlink>
      <w:bookmarkStart w:id="18" w:name="vozvrat18"/>
      <w:bookmarkEnd w:id="18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создаёт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благоприятную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проведении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обучения,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зону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Помогает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эффективно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преодолевать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(возможно,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израненное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болезненное)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сопротивление.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избегая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нотации,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нравоучения,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директивных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способов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переубеждения.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вышеперечисленных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отнюдь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означает,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отбросить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приёмы,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проясняют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глубину,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оттенки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изучаемых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открывают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потенциал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индивидуальных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механизмов.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нужно,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позже…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признавать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вхождение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терапевтический,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учебный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медиативный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процесс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должно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простым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понятным,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лёгким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наглядным.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упрощения,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поначалу,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обойтись.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классических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версиях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глубоки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достаточно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содержанию.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причем,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консультативная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психотерапевтическая: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сохранит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силу,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терпение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дойдёт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сполна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воспользоваться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механизмами,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целебными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механизмами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открывающей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пути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обучения,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самосовершенствования,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проясняющей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общественной,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политической,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экономической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социально-психологических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сообществ,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народов.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Сюжеты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затрагивают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актуальные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области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экономической,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политической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Наверно,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существует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отражения.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палитра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проблем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межличностных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вопросы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отцов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детей,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любви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ненависти,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дружбы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вражды,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предательства,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преступления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наказания,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государственной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машины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насыщенные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политической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сатирой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шоу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скепсисом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происходит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вокруг.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высмеивают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общественные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пороки,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затёртые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стереотипы,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саму…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массовую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культуру,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самокритики.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актуальности,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феномене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всепроникающей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популярности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свидетельствовать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факты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упоминания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представителями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молодёжной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людьми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старшего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поколения,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играющими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значимые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Президент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США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Джордж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Буш–старший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упоминал,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критическом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27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января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1992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года</w:t>
      </w:r>
      <w:hyperlink r:id="rId35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19</w:t>
        </w:r>
      </w:hyperlink>
      <w:bookmarkStart w:id="19" w:name="vozvrat19"/>
      <w:bookmarkEnd w:id="19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сказав: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продолжать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усилия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укреплению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американской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сделать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американские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похожими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Уолтонов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Waltons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художественный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1971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2010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уточнение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Горелов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К.Е.),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похожими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импсонов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…».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 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Виргинского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университета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США,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Кантор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Paul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Cantor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University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Virginia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Simpsons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: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Atomistic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Politics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and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Nuclear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Family»</w:t>
      </w:r>
      <w:hyperlink r:id="rId36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20</w:t>
        </w:r>
      </w:hyperlink>
      <w:bookmarkStart w:id="20" w:name="vozvrat20"/>
      <w:bookmarkEnd w:id="20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1999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[17]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аргументировал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критикам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следующим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образом: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«…Many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commentators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have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lamented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fact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that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serves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one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representative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images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life,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claiming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that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show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provides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horrible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role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models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for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parents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children.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popularity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show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often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cited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evidence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decline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values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United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States.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But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critics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need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to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take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closer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look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show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view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context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television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history.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For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all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slapstick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nature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mocking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certain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aspects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life,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affirmative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side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ends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up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celebrating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nuclear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institution.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For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television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this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is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no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minor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achievement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…»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«Многие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сетовали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рисуя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имидж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обычной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семейной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родителям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детям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ужасные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поведения.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Популярность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шоу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трактуется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свидетельство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упадка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семейных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ценностей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Соединённых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Штатах.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критикам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«Симпсонов»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приглядеться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проанализировать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контексте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телевизионной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истории.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Несмотря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фарсовую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мультфильма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насмешки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определёнными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сторонами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семейной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оказывают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конструктивное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действие,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поскольку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прославляют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нуклеарную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институт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(возможен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перевода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«утверждают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институт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норму»).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телевидения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немалое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достижение…».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подробнее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посмотреть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книге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философия»,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Халвани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Скобл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(2005)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[16].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интервью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профессора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Кантор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журналу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«Американа.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Журнал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американской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массовой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культуре»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Americana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journal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American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popular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culture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»)</w:t>
      </w:r>
      <w:hyperlink r:id="rId37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21</w:t>
        </w:r>
      </w:hyperlink>
      <w:bookmarkStart w:id="21" w:name="vozvrat21"/>
      <w:bookmarkEnd w:id="21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[18].</w:t>
      </w:r>
      <w:proofErr w:type="gramEnd"/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Предвосхищая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упреки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упрощенчестве,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редукционизме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подчеркнем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подачи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исключительной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преследует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обеспечение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лёгкости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доступности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вхождения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сложно–богатое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Давая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шанс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познакомиться,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постичь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обычно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обойденными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услугами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классических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ввиду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сложности.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Устремляясь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искренних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профессиональных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поисках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потаённые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воспаряя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заоблачные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проявляем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должное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снисхождение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большинства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опыту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возрасту,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пониманию…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оставляем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фактически,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получить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поддержку.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усвоены–осознаны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специально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подготовленном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Думается,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стоило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поразмышлять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направлении,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большинству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воспользоваться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сокровищницей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накопленных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подняться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человеческому,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прочувственному,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зрелому,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осознанному,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знающему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ответственному.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осветить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найти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дорогу,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которая,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потенциально,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дорогой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настоящей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жизни.</w:t>
      </w:r>
    </w:p>
    <w:p w:rsidR="0060126C" w:rsidRPr="00447A1D" w:rsidRDefault="0060126C" w:rsidP="0060126C">
      <w:pPr>
        <w:spacing w:before="200" w:after="0" w:line="240" w:lineRule="auto"/>
        <w:ind w:left="900" w:right="150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интеграции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сфер,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востребующих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взаимопонимания,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взаимопринятия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поиска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интеграции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взглядов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(психологов–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клиницистов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психологов–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гуманитариев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неклиницистов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педагогика,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образование.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сказать,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немедицинских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учебных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заведениях,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преподаётся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непосредственно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(медицинской)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уделяется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времени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меньше.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студентов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психоаналитические,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психодинамические,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экзистенциально-гуманистические,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религиозные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(подходы).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построены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реалистическое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материально–телесное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телосложения,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строения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функционирования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нервной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т.д.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отличие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идеалистического,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видения).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Составными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частями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закономерности,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установленные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биологии,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генетике,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анатомии,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физиологии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областях.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теории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рождаются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опыта,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непосредственного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многочисленного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повторяющегося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соприкосновения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живым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оказывается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Главная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задача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души,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особенностей.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пишет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известный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родоначальник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ХК: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«…Она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глубоко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одухотворенной,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философски-поэтической,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внешне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похожей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постоянно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чувствует-понимает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стихийную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самозащиту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источника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телесного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уточнение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Горелов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К.Е.),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физиологические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закономерности,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проступающие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картине,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дифференциальной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диагностике…»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созидаются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свободных,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концепций,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рождаться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тиши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кабинета»,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опыта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прозрения.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Трактовки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происходящих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движений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религиозного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начал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высокое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сродство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последними.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Хорошо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заметной,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обнаруживаемой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последователей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опора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убежденность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достаточности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принципов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интрапсихического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детерминизма.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Происхождение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«проблем»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рассматриваться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следствие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нарушения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регуляции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внутренних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гипотетических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процессов.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Главная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задача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укрепление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«здорового»,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самопознание,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рост.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«…психологическое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мышление,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отличие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его»),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склонно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абсолютизации.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Типичный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психолог–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аутист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убежденностью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вводит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замкнутую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психологически–аутистическую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гениальной,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типичный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клиницист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реалист,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диалектик,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реалистически,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согласно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раскладывает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полкам,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противопоказаний…»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пишет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отличиях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(неклинической)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(клинической)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Поэтому,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начиная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разговор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естественнонаучном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студентами,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мере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сформировалось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необходимо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оговорить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следующие,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вводные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избежать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бесплодной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полемики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сохранить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силы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плодотворного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взаимообогащения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знаниями: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«истиной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последней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инстанции»,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претендует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абсолют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пояснении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функционирования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следует…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Второе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делается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допущение,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состоящее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признании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истинными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Т.к.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совпадают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собственным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идеалистическим,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мироощущением.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«реалистичны»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терапевтичны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естественно-научной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«колокольни».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намеренно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пользуемся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«неклиническим»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языком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пациентами,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называется,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«родной».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Следовательно…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Третье.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рассмотрения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один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взгляд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мир.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более…,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этого.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Взгляд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углом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один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ракурс.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отвергаем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точки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зрения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интерпретации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взаимодействия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трактовку,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дополняющую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понятийные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методики.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странно,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изучая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литературу,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точки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пересечения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Например,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двустороннее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защиты».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конечно,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далеко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смысловому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наполнению,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являющемуся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своеобразным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интегративным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связующим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«мостиком»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«клиническим»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«неклиническим»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обязательно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знакомства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гуманитариев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складу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образованию)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психотерапии.</w:t>
      </w:r>
      <w:proofErr w:type="gramEnd"/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200" w:after="0" w:line="240" w:lineRule="auto"/>
        <w:ind w:left="900" w:right="150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Приложение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Хотелось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предложить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конкретные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«шпаргалок»,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облегчающих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запоминание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прежде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упомянем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желательности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складывания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пришедших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чертах,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менее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ясного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конструкции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справедливой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любого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Соотношение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понятий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здоровый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характер,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акцентуация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характера,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специфическое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расстройство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(с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краткими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пояснениями)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2DE04A0" wp14:editId="6A642A11">
            <wp:extent cx="6332220" cy="3726180"/>
            <wp:effectExtent l="0" t="0" r="0" b="7620"/>
            <wp:docPr id="7" name="Рисунок 7" descr="http://www.medpsy.ru/mprj/pictures/pic12_6_04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dpsy.ru/mprj/pictures/pic12_6_04_9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Разъясним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упомянутые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ключевые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понятия: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совокупность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наиболее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устойчивых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выразительных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индивидуальных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черт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(особенности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воли,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эмоций,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темперамента,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интеллекта),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обнаруживаются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поведении,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поступках,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окружающему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себе.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черты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наделяют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неповторимым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своеобразием,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индивидуальностью.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позволяют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наиболее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типичным,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сходным,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повторяющимся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ярким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значимым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объединить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носителей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условные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обозначения.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Маркируя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целесообразно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«характер»,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сочетании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содержащими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терминологии,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корнями».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из-за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устоявшегося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ассоциируется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сознании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(особенно,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далёких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медицины)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исключительно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расстройством.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Например,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вместо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словосочетания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психастеник»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«тревожно-сомневающийся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статьи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отстаивает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позицию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1997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активного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вхождения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деятельность.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Отрадно,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сообщества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сторонников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позиции.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Поддерживает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доктор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Кафедры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Сексологии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РМАПО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Евгеньевич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урно.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передачей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подопечным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изданных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текстов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правим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определений),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травмировать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ненароком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консультируемых.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Акцентуации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«усиления»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степени,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«усиленные»,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«заостренные»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определяя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повышенную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устойчивость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ряда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воздействий,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периодически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способствуют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развитию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внутренних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переживаний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дезадаптивных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ситуаций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другого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воздействий,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отечественным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Личко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Специфические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«сгущения»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тотальностью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неизменностью,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постоянством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нарушения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адаптации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страданий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и/или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страданий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окружающих.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сегодня,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сожалению,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МКБ–10.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отечественных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руководствах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приводим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кодовые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МКБ–10).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вышесказанного,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названиях,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применяемых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называемыми,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корнями»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общепринято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профессиональной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уместно.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предстоит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размышлений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уточнению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обозначений.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Своеобразие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культуры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любая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(психотерапевтическая,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психиатрическая)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терминология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массовом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общественном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сознании,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сожалению,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ранние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постепенно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стигматизируется.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накладывает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негативный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отпечаток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взаимодействия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специалиста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обращающихся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раскрытие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официальной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обратившимися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способствует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неосознанному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построению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пессимистичных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сценариев.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Ставит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клиента/пациента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«неловкое»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родственниками,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друзьями,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коллегами,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пугает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самого.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неосторожно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произнести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какой-либо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профессиональный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искреннего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побуждения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точнее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тревожный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вопрос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обратившегося: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называется?»…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летит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насмарку.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латинского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radix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корень,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коренной,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основной).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определяет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коренные,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(независимо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степени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выраженности):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отдельной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сказать,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«питает»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конструкцию:</w:t>
      </w:r>
    </w:p>
    <w:p w:rsidR="0060126C" w:rsidRPr="00447A1D" w:rsidRDefault="0060126C" w:rsidP="0060126C">
      <w:pPr>
        <w:spacing w:before="75" w:after="0" w:line="240" w:lineRule="auto"/>
        <w:ind w:left="150" w:right="150"/>
        <w:jc w:val="center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наименованиях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названиях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было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разумным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применять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обременённые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терминологией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словосочетания.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пациентами,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поначалу,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становиться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целесообразным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вдвойне.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Во-первых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требует,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проведения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чёткой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грани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«здоровьем»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«болезнью».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одномоментной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необходимости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новичка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разбираться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многочисленных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тонкостях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грани,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уберегаем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учеников/клиентов/пациентов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добавочных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негативных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эмоциональных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реакций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кабинете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консультанта,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ощущения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«завала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информацией»,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тяжело».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Во-вторых,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«психиатрическими»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корнями: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названиях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(психопатий)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встречаются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повсеместно.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ятрогенны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«аутистический»,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«шизоидный»,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«эпилептоидный»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(пациент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шизофрению,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эпилепсию,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врач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«хочет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приписать»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заболевания,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характерах).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восприятия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пришедшего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«истерический»,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«неврастенический»,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«психастенический».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созвучны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употребляемым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пренебрежительным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оттенком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«неврастеник»,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«истеричка»,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Избежать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предварительной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информационной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«прививки»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подготовки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избежать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дополнительной,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ятрогенной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травматизации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обратившихся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врачебной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пришедших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консультацию.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Опыт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показывает,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консультирующим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«подозрительных»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«напоминающих»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моментально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формирует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обратившегося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негативные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чувства: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«Вот,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пришёл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«сделали»,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следовало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сюда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обращаться».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Огорчение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оттого,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«вот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какой-то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психастенией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болен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подозрение,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«сейчас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вообще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бригаду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санитаров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вызовут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госпитализируют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психдом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Напротив,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специалистов,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научно-практической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ясности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стремиться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чёткости,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строгости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определений.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разграничивать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категории: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(психопатии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использовавшееся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выражение).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требуется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сделать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обобщение.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наглядных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пособий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улучшения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запоминания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подкрепления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первичных,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постепенно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получаемых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проведения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встреч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синтонного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циклоидного,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сангвинического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др.)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выглядеть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5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синтонного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(сангвинического)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радикала.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5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(адаптированное)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синтонного</w:t>
      </w:r>
      <w:proofErr w:type="spellEnd"/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(сангвинического)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радикала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FAEB401" wp14:editId="0C3C5E70">
            <wp:extent cx="5981700" cy="5326380"/>
            <wp:effectExtent l="0" t="0" r="0" b="7620"/>
            <wp:docPr id="6" name="Рисунок 6" descr="http://www.medpsy.ru/mprj/pictures/pic12_6_04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dpsy.ru/mprj/pictures/pic12_6_04_1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before="75"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_______________________</w:t>
      </w:r>
    </w:p>
    <w:p w:rsidR="0060126C" w:rsidRPr="00447A1D" w:rsidRDefault="0060126C" w:rsidP="0060126C">
      <w:pPr>
        <w:spacing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22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защитах,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далее,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книге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Руднева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В.П.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[14].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02FF9A86" wp14:editId="22D7C41F">
            <wp:extent cx="5981700" cy="3566160"/>
            <wp:effectExtent l="0" t="0" r="0" b="0"/>
            <wp:docPr id="5" name="Рисунок 5" descr="http://www.medpsy.ru/mprj/pictures/pic12_6_04_1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edpsy.ru/mprj/pictures/pic12_6_04_10_1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Дополнительно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визуальный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иллюстрирующий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«звучание»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творящего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плодах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деятельности.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Например,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картины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художников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(Тропинин,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Ренуар),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фрагменты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музыкальных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произведений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(Моцарт,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Штраус).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обсуждения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фрагменты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биографий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патографических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исследований)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произведений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упомянутых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поэтов,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писателей.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группы.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Далее,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наглядного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пособия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«шпаргалки»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получения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замкнуто–углублённого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радикала.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употреблять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словосочетание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«замкнуто–углублённый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состоящее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корней),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мере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«аутистический»,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ведётся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«аутистической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акцентуации».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формулировку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«шизоидное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(F60.1)»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намерения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подчеркнуть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безусловно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уровень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рассматриваемых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говоря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специфического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радикала.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(адаптированное)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особенностей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замкнуто-углублённого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радикала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4A8BB101" wp14:editId="6C1258BD">
            <wp:extent cx="6164580" cy="5029200"/>
            <wp:effectExtent l="0" t="0" r="7620" b="0"/>
            <wp:docPr id="4" name="Рисунок 4" descr="http://www.medpsy.ru/mprj/pictures/pic12_6_04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edpsy.ru/mprj/pictures/pic12_6_04_1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6E341A6" wp14:editId="275A41DE">
            <wp:extent cx="6164580" cy="4411980"/>
            <wp:effectExtent l="0" t="0" r="7620" b="7620"/>
            <wp:docPr id="3" name="Рисунок 3" descr="http://www.medpsy.ru/mprj/pictures/pic12_6_04_1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edpsy.ru/mprj/pictures/pic12_6_04_11_1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напоследок,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сведение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демонстративного,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инфантильно-ювенильного,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неустойчивого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(адаптированное)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особенностей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демонстративного,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инфантильно-ювенильного,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неустойчивого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4C9D9CD7" wp14:editId="5596D0FA">
            <wp:extent cx="6149340" cy="7917180"/>
            <wp:effectExtent l="0" t="0" r="3810" b="7620"/>
            <wp:docPr id="2" name="Рисунок 2" descr="http://www.medpsy.ru/mprj/pictures/pic12_6_04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edpsy.ru/mprj/pictures/pic12_6_04_1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before="75"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_______________________</w:t>
      </w:r>
    </w:p>
    <w:p w:rsidR="0060126C" w:rsidRPr="00447A1D" w:rsidRDefault="0060126C" w:rsidP="0060126C">
      <w:pPr>
        <w:spacing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23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меткому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выражению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А.П.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Егидес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(2006)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[6].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15DBDDBD" wp14:editId="2ED66A1D">
            <wp:extent cx="6164580" cy="4503420"/>
            <wp:effectExtent l="0" t="0" r="7620" b="0"/>
            <wp:docPr id="1" name="Рисунок 1" descr="http://www.medpsy.ru/mprj/pictures/pic12_6_04_1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edpsy.ru/mprj/pictures/pic12_6_04_12_1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bookmarkStart w:id="22" w:name="snoska"/>
      <w:bookmarkEnd w:id="22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_______________________</w:t>
      </w:r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Настоящая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статья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развёрнутым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текстом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краткого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устного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доклада,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представленного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Конгрессе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Интегративные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процессы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консультировании.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здоровых</w:t>
      </w:r>
      <w:proofErr w:type="gram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Медиация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(проходившего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7-9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октября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2011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Москве).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Публикуется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впервые.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5" w:anchor="vozvrat1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…Болезненное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чувство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собственной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малоценности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стеснительность,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ранимость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вместе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стало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обозначаться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термином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дефензивность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латинского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слова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defenso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оборона,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стремление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встрече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жизненными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трудностями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занимать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избегающую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оборонительную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позицию.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Иногда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дополнительно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невротически,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психотически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ломаться.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6" w:anchor="vozvrat2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3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Подробнее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проекте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естественно-научному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творческого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процесса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интересоваться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здесь: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http://www.characterology.ru.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Руководитель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проекта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Г.Ю.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Канарш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7" w:anchor="vozvrat3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4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сущности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ТТСБ,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важных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особенностях,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отличиях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арт-терапии,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экзистенциально-гуманистических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методик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книге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Бурно.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Терапия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творческим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самовыражением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(отечественный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клинический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2012.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437-468.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8" w:anchor="vozvrat4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5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Умеренный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уровень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принято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рассматривать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Селье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Selye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1936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саногенный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есть,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оздоравливающий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Саногенный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частью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природных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механизмов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адаптации,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проявлением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«адаптационного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синдрома»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человека.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есть,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саногенный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частью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природных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механизмов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выживания.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Концепция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Селье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Selye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Н.,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1936)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определяет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генерализованный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адаптационный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синдром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(ГАС)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универсальный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ответ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организма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различные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своему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характеру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раздражители.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ГАС,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обладает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стимуляционно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активирующим,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лечебным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действием.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9" w:anchor="vozvrat5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монография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Андрея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Евгеньевича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Личко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впервые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вышедшая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1977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году,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становиться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буквально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настольной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книгой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последующих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поколений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отечественных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психиатров,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психологов.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0" w:anchor="vozvrat6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Психологической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медиации…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способа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разрешения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конфликтов,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споров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участии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незаинтересованной,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«третьей»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стороны,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роли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выступает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медиатор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1" w:anchor="vozvrat7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lastRenderedPageBreak/>
        <w:t>8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МКБ-10.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болезней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десятого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пересмотра.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статистическая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болезней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связанных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здоровьем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(англ.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International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Statistical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Classification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Diseases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and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Related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Health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Problems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Документ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значения,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используется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ведущая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статистическая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классификационная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Периодически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пересматривается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под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руководством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Всемирной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организации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(ВОЗ).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Приказом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Министерства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Российской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федерации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№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170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1997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переходе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органов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учреждений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Российской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Федерации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статистическую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болезней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связанных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здоровьем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X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пересмотра»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переход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МКБ-10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осуществлён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01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января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1999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2" w:anchor="vozvrat8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9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gram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казалось,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нашему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сожалению,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картины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зарубежного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происхождения…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3" w:anchor="vozvrat9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Mainstream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(англ.)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главное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течение,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поток,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основное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направление.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4" w:anchor="vozvrat10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http://archive.diary.ru/~A-TALE/?comments&amp;postid=7856584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5" w:anchor="vozvrat11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12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http://www.outpost-daria.com/ch_quinn.html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6" w:anchor="vozvrat12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13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http://www.outpost-daria.com/photo/iicy/daria_quinn.gif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7" w:anchor="vozvrat13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14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http://simpsonsfun.ru/index.php?newsid=6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8" w:anchor="vozvrat14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15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M&amp;M's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Mars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&amp;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Murrie's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(Марс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Мьюрри'с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фамилии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основателей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компании)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ставшие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популярными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всём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мире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шоколадные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конфеты,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покрытые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разноцветной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глазурью.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производство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начато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США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1941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году,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ныне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продаются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100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странах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мира,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числе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Философское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«озарение»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Гомера,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претендуя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тонкость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глубину,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оказывается,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сути,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цинично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упрощённым,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огрубленным.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9" w:anchor="vozvrat15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  <w:proofErr w:type="gramEnd"/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http://upload.wikimedia.org/wikipedia/ru/archive/5/5b/20090817103935%21FamilyGuy_Peter_Griffin_72.jpg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23.04.12).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0" w:anchor="vozvrat16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Известно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использовании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сказок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психотерапевтическом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сказкотерапия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»,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протяжении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истории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стихийно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использовал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мифы,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придания,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сказания,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притчи,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передать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следующим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поколениям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накопленный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цивилизацией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практический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духовный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опыт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человечества.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Символическая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форма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повествования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истории…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научит,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развлечёт,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утешит.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1" w:anchor="vozvrat17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18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немаловажно,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данные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мультипликационные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сериалы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имеют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массу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сюжетов,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прекрасно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иллюстрируют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положительные,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формы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поведения,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сходные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проблемами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наших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клиентов,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коррекционную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работу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которыми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проводить,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преодолевая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заграждения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деструктивных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невротических,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патохарактерологических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«психологических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защитных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панцирей»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слушателей.</w:t>
      </w:r>
    </w:p>
    <w:p w:rsidR="0060126C" w:rsidRPr="00C47C45" w:rsidRDefault="0060126C" w:rsidP="0060126C">
      <w:pPr>
        <w:spacing w:after="240" w:line="240" w:lineRule="auto"/>
        <w:ind w:left="147" w:right="147" w:firstLine="300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критическом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форм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поведения,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нашедших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отражение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обсуждаемых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сериалах,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посмотреть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«Экспертном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содержания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некоторых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серий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мультсериала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Гриффины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Симпсоны»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Руководителя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Центра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Коммуникативных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ИСЭПН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РАН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H.E.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Марковой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15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марта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2005.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Электронная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версия: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http://www.r-komitet.ru/judgement/media/rentv/razdel/expert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04.09.11)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[11].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2" w:anchor="vozvrat18" w:history="1">
        <w:r w:rsidRPr="00C47C45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</w:pPr>
      <w:r w:rsidRPr="00C47C45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val="en-US" w:eastAsia="ru-RU"/>
        </w:rPr>
        <w:t>19</w:t>
      </w:r>
      <w:r w:rsidR="00447A1D"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http://ru.wikipedia.org/wiki/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Симпсоны</w:t>
      </w:r>
      <w:r w:rsidR="00447A1D"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(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дата</w:t>
      </w:r>
      <w:r w:rsidR="00447A1D"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</w:t>
      </w:r>
      <w:r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:</w:t>
      </w:r>
      <w:r w:rsidR="00447A1D"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04.09.11).</w:t>
      </w:r>
      <w:r w:rsidR="00447A1D" w:rsidRPr="00C47C45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hyperlink r:id="rId63" w:anchor="vozvrat19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val="en-US" w:eastAsia="ru-RU"/>
        </w:rPr>
        <w:t>20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Paul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Cantor.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Simpsons: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Atomistic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Politics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Nuclear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Political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Theory,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Vol.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27,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No.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(Dec.,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1999),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pp.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735-746.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hyperlink r:id="rId64" w:anchor="vozvrat20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Интервью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профессора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Пола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Кантор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журналу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«Американа.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Журнал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американской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массовой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культуре».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(«Americana.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journal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popular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culture»).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Электронная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версия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http://www.americanpopularculture.com/journal/articles/fall_2004/cantor.htm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br/>
        <w:t>(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05.09.11).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hyperlink r:id="rId65" w:anchor="vozvrat21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Литература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Деловая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книга,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2005.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3.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самовыражением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(отечественный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437-468.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Волков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П.В.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Разнообразие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Аграф,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2000.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Ганнушкин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П.Б.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психопатий,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статика,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динамика,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систематика.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Новгород: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Издательство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Нижегородской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государственной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2000.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Егидес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А.П.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разбираться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рисунок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АСТ-ПРЕСС,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Ефремова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Ж.Д.,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Иванникова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Е.И.,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Мартюхина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В.С.,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Зюзина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Свободное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характеристика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стиля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молодёжи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провинции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малом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городе.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2007.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http://www.smalltown.siteedit.ru/proekt/1/5/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04.09.11).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8.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Кречмер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Эрнст.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Строение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Педагогика-Пресс,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1995.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9.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Леонгард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Карл.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Акцентуированные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Киев: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Высшая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школа,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1989.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10.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Личко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Психопатии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подростков.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1983.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Маркова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H.E.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Экспертное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исследование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мультсериала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Гриффины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НП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Родительский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комитет.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http://www.r-komitet.ru/judgement/media/rentv/razdel/expert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04.09.11).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Пономаренко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элементами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прогнозирования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управления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поведением.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«семь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Ростов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н/Д.: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Феникс,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2008.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13.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Рожнов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Руководство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Ташкент: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1979.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14.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Руднев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В.П.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Патография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метапсихология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Независимая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фирма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«Класс»,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2002.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Румянцева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Г.М.,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Степанов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характеристики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обращающихся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платные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центры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профиля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№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34-39.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16.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Халвани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Скобл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англ.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Леоновича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участии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Бачининой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Екатеринбург.: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У-Фактория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2005.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17.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Paul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Cantor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Atomistic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Politics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Nuclear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[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Political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Theory,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Vol.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27,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No.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6.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Dec.,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1999.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Pp.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734-749.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http://as1020.pbworks.com/f/Atomistic%2BPolitics.pdf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(accessed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September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01,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2011).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18.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Paul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Cantor.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Conversations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with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Scholars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Popular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Culture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[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Americana.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journal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popular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culture.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2005.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http://www.americanpopularculture.com/journal/articles/fall_2004/cantor.htm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(accessed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September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05,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2011).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Ссылка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цитирования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615.851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+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159.9.07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Горелов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самовыражением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принципы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креатологии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лечебной,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консультативной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преподавании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России: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электрон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ауч.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журн.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(17).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http://medpsy.ru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чч.мм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.г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ггг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элементы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необходимы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соответствуют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7.0.5-2008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"Библиографическая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ссылка"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(введен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действие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01.01.2009).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формате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число-месяц-год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=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чч.мм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.г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ггг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обращались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документу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доступен.</w:t>
      </w:r>
    </w:p>
    <w:p w:rsidR="001C3ED1" w:rsidRPr="00447A1D" w:rsidRDefault="001C3ED1" w:rsidP="0060126C"/>
    <w:sectPr w:rsidR="001C3ED1" w:rsidRPr="00447A1D" w:rsidSect="0060126C">
      <w:footerReference w:type="default" r:id="rId66"/>
      <w:pgSz w:w="11906" w:h="16838"/>
      <w:pgMar w:top="426" w:right="707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03" w:rsidRDefault="00165A03" w:rsidP="0060126C">
      <w:pPr>
        <w:spacing w:after="0" w:line="240" w:lineRule="auto"/>
      </w:pPr>
      <w:r>
        <w:separator/>
      </w:r>
    </w:p>
  </w:endnote>
  <w:endnote w:type="continuationSeparator" w:id="0">
    <w:p w:rsidR="00165A03" w:rsidRDefault="00165A03" w:rsidP="0060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537620"/>
      <w:docPartObj>
        <w:docPartGallery w:val="Page Numbers (Bottom of Page)"/>
        <w:docPartUnique/>
      </w:docPartObj>
    </w:sdtPr>
    <w:sdtEndPr/>
    <w:sdtContent>
      <w:p w:rsidR="00447A1D" w:rsidRDefault="00447A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632">
          <w:rPr>
            <w:noProof/>
          </w:rPr>
          <w:t>1</w:t>
        </w:r>
        <w:r>
          <w:fldChar w:fldCharType="end"/>
        </w:r>
      </w:p>
    </w:sdtContent>
  </w:sdt>
  <w:p w:rsidR="00447A1D" w:rsidRDefault="00447A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03" w:rsidRDefault="00165A03" w:rsidP="0060126C">
      <w:pPr>
        <w:spacing w:after="0" w:line="240" w:lineRule="auto"/>
      </w:pPr>
      <w:r>
        <w:separator/>
      </w:r>
    </w:p>
  </w:footnote>
  <w:footnote w:type="continuationSeparator" w:id="0">
    <w:p w:rsidR="00165A03" w:rsidRDefault="00165A03" w:rsidP="0060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A6"/>
    <w:rsid w:val="00043230"/>
    <w:rsid w:val="00165A03"/>
    <w:rsid w:val="001C3ED1"/>
    <w:rsid w:val="003C67E5"/>
    <w:rsid w:val="00435B67"/>
    <w:rsid w:val="00447A1D"/>
    <w:rsid w:val="0060126C"/>
    <w:rsid w:val="00602632"/>
    <w:rsid w:val="00B5151C"/>
    <w:rsid w:val="00B678A7"/>
    <w:rsid w:val="00B77D3C"/>
    <w:rsid w:val="00C35EA6"/>
    <w:rsid w:val="00C47C45"/>
    <w:rsid w:val="00D931EF"/>
    <w:rsid w:val="00E53204"/>
    <w:rsid w:val="00F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012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126C"/>
    <w:rPr>
      <w:i/>
      <w:iCs/>
    </w:rPr>
  </w:style>
  <w:style w:type="character" w:styleId="a5">
    <w:name w:val="Hyperlink"/>
    <w:basedOn w:val="a0"/>
    <w:uiPriority w:val="99"/>
    <w:semiHidden/>
    <w:unhideWhenUsed/>
    <w:rsid w:val="0060126C"/>
    <w:rPr>
      <w:color w:val="0000FF"/>
      <w:u w:val="single"/>
    </w:rPr>
  </w:style>
  <w:style w:type="paragraph" w:customStyle="1" w:styleId="author">
    <w:name w:val="author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">
    <w:name w:val="ann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26C"/>
  </w:style>
  <w:style w:type="paragraph" w:styleId="aa">
    <w:name w:val="footer"/>
    <w:basedOn w:val="a"/>
    <w:link w:val="ab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012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126C"/>
    <w:rPr>
      <w:i/>
      <w:iCs/>
    </w:rPr>
  </w:style>
  <w:style w:type="character" w:styleId="a5">
    <w:name w:val="Hyperlink"/>
    <w:basedOn w:val="a0"/>
    <w:uiPriority w:val="99"/>
    <w:semiHidden/>
    <w:unhideWhenUsed/>
    <w:rsid w:val="0060126C"/>
    <w:rPr>
      <w:color w:val="0000FF"/>
      <w:u w:val="single"/>
    </w:rPr>
  </w:style>
  <w:style w:type="paragraph" w:customStyle="1" w:styleId="author">
    <w:name w:val="author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">
    <w:name w:val="ann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26C"/>
  </w:style>
  <w:style w:type="paragraph" w:styleId="aa">
    <w:name w:val="footer"/>
    <w:basedOn w:val="a"/>
    <w:link w:val="ab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75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460">
          <w:marLeft w:val="4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224">
          <w:marLeft w:val="4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69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00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470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gif"/><Relationship Id="rId21" Type="http://schemas.openxmlformats.org/officeDocument/2006/relationships/hyperlink" Target="http://www.medpsy.ru/mprj/archiv_global/2012_6_17/nomer/nomer04.php" TargetMode="External"/><Relationship Id="rId34" Type="http://schemas.openxmlformats.org/officeDocument/2006/relationships/hyperlink" Target="http://www.medpsy.ru/mprj/archiv_global/2012_6_17/nomer/nomer04.php" TargetMode="External"/><Relationship Id="rId42" Type="http://schemas.openxmlformats.org/officeDocument/2006/relationships/image" Target="media/image14.gif"/><Relationship Id="rId47" Type="http://schemas.openxmlformats.org/officeDocument/2006/relationships/hyperlink" Target="http://www.medpsy.ru/mprj/archiv_global/2012_6_17/nomer/nomer04.php" TargetMode="External"/><Relationship Id="rId50" Type="http://schemas.openxmlformats.org/officeDocument/2006/relationships/hyperlink" Target="http://www.medpsy.ru/mprj/archiv_global/2012_6_17/nomer/nomer04.php" TargetMode="External"/><Relationship Id="rId55" Type="http://schemas.openxmlformats.org/officeDocument/2006/relationships/hyperlink" Target="http://www.medpsy.ru/mprj/archiv_global/2012_6_17/nomer/nomer04.php" TargetMode="External"/><Relationship Id="rId63" Type="http://schemas.openxmlformats.org/officeDocument/2006/relationships/hyperlink" Target="http://www.medpsy.ru/mprj/archiv_global/2012_6_17/nomer/nomer04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medpsy.ru/mprj/archiv_global/2012_6_17/nomer/nomer04.ph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gif"/><Relationship Id="rId29" Type="http://schemas.openxmlformats.org/officeDocument/2006/relationships/hyperlink" Target="http://www.medpsy.ru/mprj/archiv_global/2012_6_17/nomer/nomer04.php" TargetMode="External"/><Relationship Id="rId11" Type="http://schemas.openxmlformats.org/officeDocument/2006/relationships/hyperlink" Target="http://www.medpsy.ru/mprj/archiv_global/2012_6_17/nomer/nomer04.php" TargetMode="External"/><Relationship Id="rId24" Type="http://schemas.openxmlformats.org/officeDocument/2006/relationships/image" Target="media/image6.gif"/><Relationship Id="rId32" Type="http://schemas.openxmlformats.org/officeDocument/2006/relationships/hyperlink" Target="http://www.medpsy.ru/mprj/archiv_global/2012_6_17/nomer/nomer04.php" TargetMode="External"/><Relationship Id="rId37" Type="http://schemas.openxmlformats.org/officeDocument/2006/relationships/hyperlink" Target="http://www.medpsy.ru/mprj/archiv_global/2012_6_17/nomer/nomer04.php" TargetMode="External"/><Relationship Id="rId40" Type="http://schemas.openxmlformats.org/officeDocument/2006/relationships/image" Target="media/image12.gif"/><Relationship Id="rId45" Type="http://schemas.openxmlformats.org/officeDocument/2006/relationships/hyperlink" Target="http://www.medpsy.ru/mprj/archiv_global/2012_6_17/nomer/nomer04.php" TargetMode="External"/><Relationship Id="rId53" Type="http://schemas.openxmlformats.org/officeDocument/2006/relationships/hyperlink" Target="http://www.medpsy.ru/mprj/archiv_global/2012_6_17/nomer/nomer04.php" TargetMode="External"/><Relationship Id="rId58" Type="http://schemas.openxmlformats.org/officeDocument/2006/relationships/hyperlink" Target="http://www.medpsy.ru/mprj/archiv_global/2012_6_17/nomer/nomer04.php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www.medpsy.ru/mprj/archiv_global/2012_6_17/nomer/nomer04.php" TargetMode="External"/><Relationship Id="rId19" Type="http://schemas.openxmlformats.org/officeDocument/2006/relationships/hyperlink" Target="http://www.medpsy.ru/mprj/archiv_global/2012_6_17/nomer/nomer04.php" TargetMode="External"/><Relationship Id="rId14" Type="http://schemas.openxmlformats.org/officeDocument/2006/relationships/hyperlink" Target="http://www.medpsy.ru/mprj/archiv_global/2012_6_17/nomer/nomer04.php" TargetMode="External"/><Relationship Id="rId22" Type="http://schemas.openxmlformats.org/officeDocument/2006/relationships/image" Target="media/image5.gif"/><Relationship Id="rId27" Type="http://schemas.openxmlformats.org/officeDocument/2006/relationships/hyperlink" Target="http://www.medpsy.ru/mprj/archiv_global/2012_6_17/nomer/nomer04.php" TargetMode="External"/><Relationship Id="rId30" Type="http://schemas.openxmlformats.org/officeDocument/2006/relationships/hyperlink" Target="http://www.medpsy.ru/mprj/archiv_global/2012_6_17/nomer/nomer04.php" TargetMode="External"/><Relationship Id="rId35" Type="http://schemas.openxmlformats.org/officeDocument/2006/relationships/hyperlink" Target="http://www.medpsy.ru/mprj/archiv_global/2012_6_17/nomer/nomer04.php" TargetMode="External"/><Relationship Id="rId43" Type="http://schemas.openxmlformats.org/officeDocument/2006/relationships/image" Target="media/image15.gif"/><Relationship Id="rId48" Type="http://schemas.openxmlformats.org/officeDocument/2006/relationships/hyperlink" Target="http://www.medpsy.ru/mprj/archiv_global/2012_6_17/nomer/nomer04.php" TargetMode="External"/><Relationship Id="rId56" Type="http://schemas.openxmlformats.org/officeDocument/2006/relationships/hyperlink" Target="http://www.medpsy.ru/mprj/archiv_global/2012_6_17/nomer/nomer04.php" TargetMode="External"/><Relationship Id="rId64" Type="http://schemas.openxmlformats.org/officeDocument/2006/relationships/hyperlink" Target="http://www.medpsy.ru/mprj/archiv_global/2012_6_17/nomer/nomer04.php" TargetMode="External"/><Relationship Id="rId8" Type="http://schemas.openxmlformats.org/officeDocument/2006/relationships/hyperlink" Target="http://www.medpsy.ru/mprj/archiv_global/2012_6_17/nomer/nomer04.php" TargetMode="External"/><Relationship Id="rId51" Type="http://schemas.openxmlformats.org/officeDocument/2006/relationships/hyperlink" Target="http://www.medpsy.ru/mprj/archiv_global/2012_6_17/nomer/nomer04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edpsy.ru/mprj/archiv_global/2012_6_17/nomer/nomer04.php" TargetMode="External"/><Relationship Id="rId17" Type="http://schemas.openxmlformats.org/officeDocument/2006/relationships/hyperlink" Target="http://www.medpsy.ru/mprj/archiv_global/2012_6_17/nomer/nomer04.php" TargetMode="External"/><Relationship Id="rId25" Type="http://schemas.openxmlformats.org/officeDocument/2006/relationships/hyperlink" Target="http://www.medpsy.ru/mprj/archiv_global/2012_6_17/nomer/nomer04.php" TargetMode="External"/><Relationship Id="rId33" Type="http://schemas.openxmlformats.org/officeDocument/2006/relationships/hyperlink" Target="http://www.medpsy.ru/mprj/archiv_global/2012_6_17/nomer/nomer04.php" TargetMode="External"/><Relationship Id="rId38" Type="http://schemas.openxmlformats.org/officeDocument/2006/relationships/image" Target="media/image10.gif"/><Relationship Id="rId46" Type="http://schemas.openxmlformats.org/officeDocument/2006/relationships/hyperlink" Target="http://www.medpsy.ru/mprj/archiv_global/2012_6_17/nomer/nomer04.php" TargetMode="External"/><Relationship Id="rId59" Type="http://schemas.openxmlformats.org/officeDocument/2006/relationships/hyperlink" Target="http://www.medpsy.ru/mprj/archiv_global/2012_6_17/nomer/nomer04.php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4.gif"/><Relationship Id="rId41" Type="http://schemas.openxmlformats.org/officeDocument/2006/relationships/image" Target="media/image13.gif"/><Relationship Id="rId54" Type="http://schemas.openxmlformats.org/officeDocument/2006/relationships/hyperlink" Target="http://www.medpsy.ru/mprj/archiv_global/2012_6_17/nomer/nomer04.php" TargetMode="External"/><Relationship Id="rId62" Type="http://schemas.openxmlformats.org/officeDocument/2006/relationships/hyperlink" Target="http://www.medpsy.ru/mprj/archiv_global/2012_6_17/nomer/nomer04.ph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medpsy.ru/mprj/archiv_global/2012_6_17/nomer/nomer04.php" TargetMode="External"/><Relationship Id="rId23" Type="http://schemas.openxmlformats.org/officeDocument/2006/relationships/hyperlink" Target="http://www.medpsy.ru/mprj/archiv_global/2012_6_17/nomer/nomer04.php" TargetMode="External"/><Relationship Id="rId28" Type="http://schemas.openxmlformats.org/officeDocument/2006/relationships/image" Target="media/image8.gif"/><Relationship Id="rId36" Type="http://schemas.openxmlformats.org/officeDocument/2006/relationships/hyperlink" Target="http://www.medpsy.ru/mprj/archiv_global/2012_6_17/nomer/nomer04.php" TargetMode="External"/><Relationship Id="rId49" Type="http://schemas.openxmlformats.org/officeDocument/2006/relationships/hyperlink" Target="http://www.medpsy.ru/mprj/archiv_global/2012_6_17/nomer/nomer04.php" TargetMode="External"/><Relationship Id="rId57" Type="http://schemas.openxmlformats.org/officeDocument/2006/relationships/hyperlink" Target="http://www.medpsy.ru/mprj/archiv_global/2012_6_17/nomer/nomer04.php" TargetMode="External"/><Relationship Id="rId10" Type="http://schemas.openxmlformats.org/officeDocument/2006/relationships/hyperlink" Target="http://www.medpsy.ru/mprj/archiv_global/2012_6_17/nomer/nomer04.php" TargetMode="External"/><Relationship Id="rId31" Type="http://schemas.openxmlformats.org/officeDocument/2006/relationships/image" Target="media/image9.gif"/><Relationship Id="rId44" Type="http://schemas.openxmlformats.org/officeDocument/2006/relationships/image" Target="media/image16.gif"/><Relationship Id="rId52" Type="http://schemas.openxmlformats.org/officeDocument/2006/relationships/hyperlink" Target="http://www.medpsy.ru/mprj/archiv_global/2012_6_17/nomer/nomer04.php" TargetMode="External"/><Relationship Id="rId60" Type="http://schemas.openxmlformats.org/officeDocument/2006/relationships/hyperlink" Target="http://www.medpsy.ru/mprj/archiv_global/2012_6_17/nomer/nomer04.php" TargetMode="External"/><Relationship Id="rId65" Type="http://schemas.openxmlformats.org/officeDocument/2006/relationships/hyperlink" Target="http://www.medpsy.ru/mprj/archiv_global/2012_6_17/nomer/nomer04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http://www.medpsy.ru/mprj/archiv_global/2012_6_17/nomer/nomer04.php" TargetMode="External"/><Relationship Id="rId18" Type="http://schemas.openxmlformats.org/officeDocument/2006/relationships/image" Target="media/image3.gif"/><Relationship Id="rId39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9762</Words>
  <Characters>55650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4</cp:revision>
  <dcterms:created xsi:type="dcterms:W3CDTF">2023-04-05T02:10:00Z</dcterms:created>
  <dcterms:modified xsi:type="dcterms:W3CDTF">2023-04-14T05:12:00Z</dcterms:modified>
</cp:coreProperties>
</file>